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410" w:rsidRDefault="00C64410" w:rsidP="00AD1E27">
      <w:pPr>
        <w:pStyle w:val="Heading1"/>
        <w:tabs>
          <w:tab w:val="left" w:pos="3924"/>
        </w:tabs>
        <w:spacing w:line="240" w:lineRule="auto"/>
        <w:ind w:left="-567" w:right="-567"/>
        <w:jc w:val="center"/>
        <w:rPr>
          <w:kern w:val="20"/>
          <w:szCs w:val="24"/>
        </w:rPr>
      </w:pPr>
      <w:bookmarkStart w:id="0" w:name="_Toc240434976"/>
    </w:p>
    <w:p w:rsidR="00AD1E27" w:rsidRPr="00A3738C" w:rsidRDefault="00AD1E27" w:rsidP="00AD1E27">
      <w:pPr>
        <w:pStyle w:val="Heading1"/>
        <w:tabs>
          <w:tab w:val="left" w:pos="3924"/>
        </w:tabs>
        <w:spacing w:line="240" w:lineRule="auto"/>
        <w:ind w:left="-567" w:right="-567"/>
        <w:jc w:val="center"/>
        <w:rPr>
          <w:kern w:val="20"/>
          <w:szCs w:val="24"/>
        </w:rPr>
      </w:pPr>
      <w:r w:rsidRPr="00A3738C">
        <w:rPr>
          <w:kern w:val="20"/>
          <w:szCs w:val="24"/>
        </w:rPr>
        <w:t>COVER SHEET FOR SUBMISSIONS</w:t>
      </w:r>
      <w:bookmarkEnd w:id="0"/>
    </w:p>
    <w:p w:rsidR="006B14DB" w:rsidRPr="00986EE2" w:rsidRDefault="00AD1E27" w:rsidP="00986EE2">
      <w:pPr>
        <w:pStyle w:val="Heading2"/>
        <w:jc w:val="center"/>
        <w:rPr>
          <w:szCs w:val="24"/>
        </w:rPr>
      </w:pPr>
      <w:r w:rsidRPr="00A3738C">
        <w:rPr>
          <w:szCs w:val="24"/>
        </w:rPr>
        <w:t>I</w:t>
      </w:r>
      <w:r w:rsidRPr="00A3738C">
        <w:rPr>
          <w:rStyle w:val="Heading2Char"/>
          <w:b/>
          <w:sz w:val="24"/>
          <w:szCs w:val="24"/>
        </w:rPr>
        <w:t>ndependent Review i</w:t>
      </w:r>
      <w:bookmarkStart w:id="1" w:name="_GoBack"/>
      <w:bookmarkEnd w:id="1"/>
      <w:r w:rsidRPr="00A3738C">
        <w:rPr>
          <w:rStyle w:val="Heading2Char"/>
          <w:b/>
          <w:sz w:val="24"/>
          <w:szCs w:val="24"/>
        </w:rPr>
        <w:t>nto the Future Security of the National Electricity Market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6"/>
        <w:gridCol w:w="6796"/>
      </w:tblGrid>
      <w:tr w:rsidR="00A3738C" w:rsidRPr="00287200" w:rsidTr="00D72A62">
        <w:trPr>
          <w:trHeight w:val="1275"/>
          <w:jc w:val="center"/>
        </w:trPr>
        <w:tc>
          <w:tcPr>
            <w:tcW w:w="9274" w:type="dxa"/>
            <w:gridSpan w:val="2"/>
          </w:tcPr>
          <w:p w:rsidR="00A3738C" w:rsidRPr="00A62292" w:rsidRDefault="00A3738C" w:rsidP="00A62292">
            <w:pPr>
              <w:pStyle w:val="Style2"/>
            </w:pPr>
            <w:r w:rsidRPr="00A62292">
              <w:t>Overview</w:t>
            </w:r>
          </w:p>
          <w:p w:rsidR="00A3738C" w:rsidRPr="001B6F5B" w:rsidRDefault="00A3738C" w:rsidP="00A3738C">
            <w:pPr>
              <w:spacing w:before="120" w:after="120"/>
              <w:rPr>
                <w:rFonts w:cs="Arial"/>
                <w:sz w:val="20"/>
              </w:rPr>
            </w:pPr>
            <w:r>
              <w:rPr>
                <w:rFonts w:cs="Arial"/>
                <w:sz w:val="20"/>
              </w:rPr>
              <w:t xml:space="preserve">Please include this cover sheet with your </w:t>
            </w:r>
            <w:r w:rsidRPr="006449BA">
              <w:rPr>
                <w:rFonts w:cs="Arial"/>
                <w:sz w:val="20"/>
              </w:rPr>
              <w:t xml:space="preserve">submission on the </w:t>
            </w:r>
            <w:r>
              <w:rPr>
                <w:rFonts w:cs="Arial"/>
                <w:sz w:val="20"/>
              </w:rPr>
              <w:t>Preliminary Report of the Independent Review into the Future Security of the National Electricity Market</w:t>
            </w:r>
            <w:r w:rsidRPr="006449BA">
              <w:rPr>
                <w:rFonts w:cs="Arial"/>
                <w:sz w:val="20"/>
              </w:rPr>
              <w:t xml:space="preserve">. </w:t>
            </w:r>
          </w:p>
        </w:tc>
      </w:tr>
      <w:tr w:rsidR="00A3738C" w:rsidRPr="00287200" w:rsidTr="00D72A62">
        <w:trPr>
          <w:trHeight w:val="902"/>
          <w:jc w:val="center"/>
        </w:trPr>
        <w:tc>
          <w:tcPr>
            <w:tcW w:w="9274" w:type="dxa"/>
            <w:gridSpan w:val="2"/>
          </w:tcPr>
          <w:p w:rsidR="00A3738C" w:rsidRPr="00A62292" w:rsidRDefault="00A3738C" w:rsidP="00A62292">
            <w:pPr>
              <w:pStyle w:val="Style2"/>
            </w:pPr>
            <w:r w:rsidRPr="00A62292">
              <w:t xml:space="preserve">Background </w:t>
            </w:r>
          </w:p>
          <w:p w:rsidR="006F5741" w:rsidRPr="006F5741" w:rsidRDefault="006F5741" w:rsidP="006F5741">
            <w:pPr>
              <w:spacing w:before="120" w:after="120"/>
              <w:rPr>
                <w:rFonts w:cs="Arial"/>
                <w:sz w:val="20"/>
              </w:rPr>
            </w:pPr>
            <w:r>
              <w:rPr>
                <w:rFonts w:cs="Arial"/>
                <w:sz w:val="20"/>
              </w:rPr>
              <w:t>The</w:t>
            </w:r>
            <w:r w:rsidRPr="006F5741">
              <w:rPr>
                <w:rFonts w:cs="Arial"/>
                <w:sz w:val="20"/>
              </w:rPr>
              <w:t xml:space="preserve"> Preliminary Report outlines the Panel’s observations about the current state </w:t>
            </w:r>
            <w:r>
              <w:rPr>
                <w:rFonts w:cs="Arial"/>
                <w:sz w:val="20"/>
              </w:rPr>
              <w:t xml:space="preserve">of the NEM and offers questions </w:t>
            </w:r>
            <w:r w:rsidRPr="006F5741">
              <w:rPr>
                <w:rFonts w:cs="Arial"/>
                <w:sz w:val="20"/>
              </w:rPr>
              <w:t>on the major issues the Panel has identified. The questions are designed to eli</w:t>
            </w:r>
            <w:r>
              <w:rPr>
                <w:rFonts w:cs="Arial"/>
                <w:sz w:val="20"/>
              </w:rPr>
              <w:t xml:space="preserve">cit suggestions or answers that </w:t>
            </w:r>
            <w:r w:rsidRPr="006F5741">
              <w:rPr>
                <w:rFonts w:cs="Arial"/>
                <w:sz w:val="20"/>
              </w:rPr>
              <w:t>may help form the Panel’s final recommendations.</w:t>
            </w:r>
          </w:p>
          <w:p w:rsidR="006F5741" w:rsidRDefault="006F5741" w:rsidP="006F5741">
            <w:pPr>
              <w:spacing w:before="120" w:after="120"/>
              <w:rPr>
                <w:rFonts w:cs="Arial"/>
                <w:sz w:val="20"/>
              </w:rPr>
            </w:pPr>
            <w:r>
              <w:rPr>
                <w:rFonts w:cs="Arial"/>
                <w:sz w:val="20"/>
              </w:rPr>
              <w:t>The</w:t>
            </w:r>
            <w:r w:rsidRPr="006F5741">
              <w:rPr>
                <w:rFonts w:cs="Arial"/>
                <w:sz w:val="20"/>
              </w:rPr>
              <w:t xml:space="preserve"> Preliminary Report serves as an issues paper for broad </w:t>
            </w:r>
            <w:r>
              <w:rPr>
                <w:rFonts w:cs="Arial"/>
                <w:sz w:val="20"/>
              </w:rPr>
              <w:t xml:space="preserve">public consultation. As </w:t>
            </w:r>
            <w:r w:rsidRPr="006F5741">
              <w:rPr>
                <w:rFonts w:cs="Arial"/>
                <w:sz w:val="20"/>
              </w:rPr>
              <w:t>such, the questions and views will be subject to further consideration and discussi</w:t>
            </w:r>
            <w:r>
              <w:rPr>
                <w:rFonts w:cs="Arial"/>
                <w:sz w:val="20"/>
              </w:rPr>
              <w:t xml:space="preserve">on, in anticipation of the final </w:t>
            </w:r>
            <w:r w:rsidRPr="006F5741">
              <w:rPr>
                <w:rFonts w:cs="Arial"/>
                <w:sz w:val="20"/>
              </w:rPr>
              <w:t>blueprint being produced in 2017.</w:t>
            </w:r>
          </w:p>
          <w:p w:rsidR="006F5741" w:rsidRPr="001B6F5B" w:rsidRDefault="006F5741" w:rsidP="006F5741">
            <w:pPr>
              <w:spacing w:before="120" w:after="120"/>
              <w:rPr>
                <w:rFonts w:cs="Arial"/>
                <w:sz w:val="20"/>
              </w:rPr>
            </w:pPr>
            <w:r w:rsidRPr="006F5741">
              <w:rPr>
                <w:rFonts w:cs="Arial"/>
                <w:sz w:val="20"/>
              </w:rPr>
              <w:t>Stakeholders are encouraged to keep their submissions as succinct as possible, and include a one-page</w:t>
            </w:r>
            <w:r>
              <w:rPr>
                <w:rFonts w:cs="Arial"/>
                <w:sz w:val="20"/>
              </w:rPr>
              <w:t xml:space="preserve"> </w:t>
            </w:r>
            <w:r w:rsidRPr="006F5741">
              <w:rPr>
                <w:rFonts w:cs="Arial"/>
                <w:sz w:val="20"/>
              </w:rPr>
              <w:t>executive summary.</w:t>
            </w:r>
          </w:p>
        </w:tc>
      </w:tr>
      <w:tr w:rsidR="00A3738C" w:rsidRPr="00287200" w:rsidTr="00D72A62">
        <w:trPr>
          <w:trHeight w:val="442"/>
          <w:jc w:val="center"/>
        </w:trPr>
        <w:tc>
          <w:tcPr>
            <w:tcW w:w="9274" w:type="dxa"/>
            <w:gridSpan w:val="2"/>
          </w:tcPr>
          <w:p w:rsidR="00A3738C" w:rsidRPr="00287200" w:rsidRDefault="00A3738C" w:rsidP="00A62292">
            <w:pPr>
              <w:pStyle w:val="Style2"/>
            </w:pPr>
            <w:r w:rsidRPr="00287200">
              <w:t>Contact Details</w:t>
            </w:r>
          </w:p>
        </w:tc>
      </w:tr>
      <w:tr w:rsidR="00A3738C" w:rsidRPr="00287200" w:rsidTr="00D72A62">
        <w:trPr>
          <w:trHeight w:val="336"/>
          <w:jc w:val="center"/>
        </w:trPr>
        <w:tc>
          <w:tcPr>
            <w:tcW w:w="2453" w:type="dxa"/>
          </w:tcPr>
          <w:p w:rsidR="00A3738C" w:rsidRPr="00FD1F8E" w:rsidRDefault="00A3738C" w:rsidP="00BA3CAC">
            <w:pPr>
              <w:spacing w:before="120" w:after="120"/>
              <w:rPr>
                <w:rFonts w:cs="Arial"/>
                <w:b/>
                <w:sz w:val="20"/>
                <w:szCs w:val="20"/>
                <w:lang w:val="en-GB"/>
              </w:rPr>
            </w:pPr>
            <w:r w:rsidRPr="00FD1F8E">
              <w:rPr>
                <w:rFonts w:cs="Arial"/>
                <w:b/>
                <w:sz w:val="20"/>
                <w:szCs w:val="20"/>
                <w:lang w:val="en-GB"/>
              </w:rPr>
              <w:t>Name of Organisation</w:t>
            </w:r>
            <w:r w:rsidR="00986EE2">
              <w:rPr>
                <w:rFonts w:cs="Arial"/>
                <w:b/>
                <w:sz w:val="20"/>
                <w:szCs w:val="20"/>
                <w:lang w:val="en-GB"/>
              </w:rPr>
              <w:t xml:space="preserve"> (where applicable)</w:t>
            </w:r>
          </w:p>
        </w:tc>
        <w:tc>
          <w:tcPr>
            <w:tcW w:w="6821" w:type="dxa"/>
          </w:tcPr>
          <w:p w:rsidR="00A3738C" w:rsidRPr="00FD1F8E" w:rsidRDefault="00151F29" w:rsidP="00BA3CAC">
            <w:pPr>
              <w:spacing w:before="120" w:after="120"/>
              <w:rPr>
                <w:rFonts w:cs="Arial"/>
                <w:sz w:val="20"/>
                <w:szCs w:val="20"/>
              </w:rPr>
            </w:pPr>
            <w:r>
              <w:rPr>
                <w:rFonts w:cs="Arial"/>
                <w:sz w:val="20"/>
                <w:szCs w:val="20"/>
              </w:rPr>
              <w:t>Private submission</w:t>
            </w:r>
          </w:p>
        </w:tc>
      </w:tr>
      <w:tr w:rsidR="00A3738C" w:rsidRPr="00287200" w:rsidTr="00D72A62">
        <w:trPr>
          <w:trHeight w:val="336"/>
          <w:jc w:val="center"/>
        </w:trPr>
        <w:tc>
          <w:tcPr>
            <w:tcW w:w="2453" w:type="dxa"/>
          </w:tcPr>
          <w:p w:rsidR="00A3738C" w:rsidRPr="00FD1F8E" w:rsidRDefault="00A3738C" w:rsidP="00BA3CAC">
            <w:pPr>
              <w:spacing w:before="120" w:after="120"/>
              <w:rPr>
                <w:rFonts w:cs="Arial"/>
                <w:b/>
                <w:sz w:val="20"/>
                <w:szCs w:val="20"/>
                <w:lang w:val="en-GB"/>
              </w:rPr>
            </w:pPr>
            <w:r w:rsidRPr="00FD1F8E">
              <w:rPr>
                <w:rFonts w:cs="Arial"/>
                <w:b/>
                <w:sz w:val="20"/>
                <w:szCs w:val="20"/>
                <w:lang w:val="en-GB"/>
              </w:rPr>
              <w:t>Name of Author</w:t>
            </w:r>
          </w:p>
        </w:tc>
        <w:tc>
          <w:tcPr>
            <w:tcW w:w="6821" w:type="dxa"/>
          </w:tcPr>
          <w:p w:rsidR="00A3738C" w:rsidRPr="00FD1F8E" w:rsidRDefault="00151F29" w:rsidP="00BA3CAC">
            <w:pPr>
              <w:spacing w:before="120" w:after="120"/>
              <w:rPr>
                <w:rFonts w:cs="Arial"/>
                <w:b/>
                <w:sz w:val="20"/>
                <w:szCs w:val="20"/>
                <w:lang w:val="en-GB"/>
              </w:rPr>
            </w:pPr>
            <w:r>
              <w:rPr>
                <w:rFonts w:cs="Arial"/>
                <w:b/>
                <w:sz w:val="20"/>
                <w:szCs w:val="20"/>
                <w:lang w:val="en-GB"/>
              </w:rPr>
              <w:t>Robert Parker</w:t>
            </w:r>
          </w:p>
        </w:tc>
      </w:tr>
      <w:tr w:rsidR="00A3738C" w:rsidRPr="00287200" w:rsidTr="00D72A62">
        <w:trPr>
          <w:trHeight w:val="336"/>
          <w:jc w:val="center"/>
        </w:trPr>
        <w:tc>
          <w:tcPr>
            <w:tcW w:w="2453" w:type="dxa"/>
          </w:tcPr>
          <w:p w:rsidR="00A3738C" w:rsidRPr="00FD1F8E" w:rsidRDefault="00A3738C" w:rsidP="00BA3CAC">
            <w:pPr>
              <w:spacing w:before="120" w:after="120"/>
              <w:rPr>
                <w:rFonts w:cs="Arial"/>
                <w:b/>
                <w:sz w:val="20"/>
                <w:szCs w:val="20"/>
                <w:lang w:val="en-GB"/>
              </w:rPr>
            </w:pPr>
            <w:r w:rsidRPr="00FD1F8E">
              <w:rPr>
                <w:rFonts w:cs="Arial"/>
                <w:b/>
                <w:sz w:val="20"/>
                <w:szCs w:val="20"/>
                <w:lang w:val="en-GB"/>
              </w:rPr>
              <w:t>Phone Number</w:t>
            </w:r>
            <w:r w:rsidR="00986EE2">
              <w:rPr>
                <w:rFonts w:cs="Arial"/>
                <w:b/>
                <w:sz w:val="20"/>
                <w:szCs w:val="20"/>
                <w:lang w:val="en-GB"/>
              </w:rPr>
              <w:t xml:space="preserve"> (optional)</w:t>
            </w:r>
          </w:p>
        </w:tc>
        <w:tc>
          <w:tcPr>
            <w:tcW w:w="6821" w:type="dxa"/>
          </w:tcPr>
          <w:p w:rsidR="00A3738C" w:rsidRPr="00FD1F8E" w:rsidRDefault="00151F29" w:rsidP="00BA3CAC">
            <w:pPr>
              <w:spacing w:before="120" w:after="120"/>
              <w:rPr>
                <w:rFonts w:cs="Arial"/>
                <w:sz w:val="20"/>
                <w:szCs w:val="20"/>
              </w:rPr>
            </w:pPr>
            <w:r>
              <w:rPr>
                <w:rFonts w:cs="Arial"/>
                <w:sz w:val="20"/>
                <w:szCs w:val="20"/>
              </w:rPr>
              <w:t>0428482066 or 02-48771320</w:t>
            </w:r>
          </w:p>
        </w:tc>
      </w:tr>
      <w:tr w:rsidR="00A3738C" w:rsidRPr="00287200" w:rsidTr="00D72A62">
        <w:trPr>
          <w:trHeight w:val="336"/>
          <w:jc w:val="center"/>
        </w:trPr>
        <w:tc>
          <w:tcPr>
            <w:tcW w:w="2453" w:type="dxa"/>
          </w:tcPr>
          <w:p w:rsidR="00A3738C" w:rsidRPr="00FD1F8E" w:rsidRDefault="00A3738C" w:rsidP="00BA3CAC">
            <w:pPr>
              <w:spacing w:before="120" w:after="120"/>
              <w:rPr>
                <w:rFonts w:cs="Arial"/>
                <w:b/>
                <w:sz w:val="20"/>
                <w:szCs w:val="20"/>
                <w:lang w:val="en-GB"/>
              </w:rPr>
            </w:pPr>
            <w:r w:rsidRPr="00FD1F8E">
              <w:rPr>
                <w:rFonts w:cs="Arial"/>
                <w:b/>
                <w:sz w:val="20"/>
                <w:szCs w:val="20"/>
                <w:lang w:val="en-GB"/>
              </w:rPr>
              <w:t>Email</w:t>
            </w:r>
          </w:p>
        </w:tc>
        <w:tc>
          <w:tcPr>
            <w:tcW w:w="6821" w:type="dxa"/>
          </w:tcPr>
          <w:p w:rsidR="00A3738C" w:rsidRPr="00FD1F8E" w:rsidRDefault="00151F29" w:rsidP="00BA3CAC">
            <w:pPr>
              <w:spacing w:before="120" w:after="120"/>
              <w:rPr>
                <w:rFonts w:cs="Arial"/>
                <w:sz w:val="20"/>
                <w:szCs w:val="20"/>
              </w:rPr>
            </w:pPr>
            <w:r>
              <w:rPr>
                <w:rFonts w:cs="Arial"/>
                <w:sz w:val="20"/>
                <w:szCs w:val="20"/>
              </w:rPr>
              <w:t>Rob.parker@acenet.com.au</w:t>
            </w:r>
          </w:p>
        </w:tc>
      </w:tr>
      <w:tr w:rsidR="00A3738C" w:rsidRPr="00287200" w:rsidTr="00D72A62">
        <w:trPr>
          <w:trHeight w:val="336"/>
          <w:jc w:val="center"/>
        </w:trPr>
        <w:tc>
          <w:tcPr>
            <w:tcW w:w="2453" w:type="dxa"/>
          </w:tcPr>
          <w:p w:rsidR="00A3738C" w:rsidRPr="00FD1F8E" w:rsidRDefault="00A3738C" w:rsidP="00BA3CAC">
            <w:pPr>
              <w:spacing w:before="120" w:after="120"/>
              <w:rPr>
                <w:rFonts w:cs="Arial"/>
                <w:b/>
                <w:sz w:val="20"/>
                <w:szCs w:val="20"/>
                <w:lang w:val="en-GB"/>
              </w:rPr>
            </w:pPr>
            <w:r>
              <w:rPr>
                <w:rFonts w:cs="Arial"/>
                <w:b/>
                <w:sz w:val="20"/>
                <w:szCs w:val="20"/>
                <w:lang w:val="en-GB"/>
              </w:rPr>
              <w:t>Address</w:t>
            </w:r>
          </w:p>
        </w:tc>
        <w:tc>
          <w:tcPr>
            <w:tcW w:w="6821" w:type="dxa"/>
          </w:tcPr>
          <w:p w:rsidR="00A3738C" w:rsidRPr="00FD1F8E" w:rsidRDefault="00151F29" w:rsidP="00BA3CAC">
            <w:pPr>
              <w:spacing w:before="120" w:after="120"/>
              <w:rPr>
                <w:rFonts w:cs="Arial"/>
                <w:sz w:val="20"/>
                <w:szCs w:val="20"/>
              </w:rPr>
            </w:pPr>
            <w:r>
              <w:rPr>
                <w:rFonts w:cs="Arial"/>
                <w:sz w:val="20"/>
                <w:szCs w:val="20"/>
              </w:rPr>
              <w:t>P.O. Box 7071, Berrima, NSW 2577</w:t>
            </w:r>
          </w:p>
        </w:tc>
      </w:tr>
      <w:tr w:rsidR="00A3738C" w:rsidRPr="00287200" w:rsidTr="00D72A62">
        <w:trPr>
          <w:trHeight w:val="336"/>
          <w:jc w:val="center"/>
        </w:trPr>
        <w:tc>
          <w:tcPr>
            <w:tcW w:w="2453" w:type="dxa"/>
          </w:tcPr>
          <w:p w:rsidR="00A3738C" w:rsidRPr="00FD1F8E" w:rsidRDefault="00A3738C" w:rsidP="00BA3CAC">
            <w:pPr>
              <w:spacing w:before="120" w:after="120"/>
              <w:rPr>
                <w:rFonts w:cs="Arial"/>
                <w:b/>
                <w:sz w:val="20"/>
                <w:szCs w:val="20"/>
                <w:lang w:val="en-GB"/>
              </w:rPr>
            </w:pPr>
            <w:r>
              <w:rPr>
                <w:rFonts w:cs="Arial"/>
                <w:b/>
                <w:sz w:val="20"/>
                <w:szCs w:val="20"/>
                <w:lang w:val="en-GB"/>
              </w:rPr>
              <w:t>Website</w:t>
            </w:r>
            <w:r w:rsidR="00986EE2">
              <w:rPr>
                <w:rFonts w:cs="Arial"/>
                <w:b/>
                <w:sz w:val="20"/>
                <w:szCs w:val="20"/>
                <w:lang w:val="en-GB"/>
              </w:rPr>
              <w:t xml:space="preserve"> (optional)</w:t>
            </w:r>
          </w:p>
        </w:tc>
        <w:tc>
          <w:tcPr>
            <w:tcW w:w="6821" w:type="dxa"/>
          </w:tcPr>
          <w:p w:rsidR="00A3738C" w:rsidRPr="00FD1F8E" w:rsidRDefault="00151F29" w:rsidP="00BA3CAC">
            <w:pPr>
              <w:spacing w:before="120" w:after="120"/>
              <w:rPr>
                <w:rFonts w:cs="Arial"/>
                <w:sz w:val="20"/>
                <w:szCs w:val="20"/>
              </w:rPr>
            </w:pPr>
            <w:r>
              <w:rPr>
                <w:rFonts w:cs="Arial"/>
                <w:sz w:val="20"/>
                <w:szCs w:val="20"/>
              </w:rPr>
              <w:t>www.nuclearforclimate.com.au</w:t>
            </w:r>
          </w:p>
        </w:tc>
      </w:tr>
      <w:tr w:rsidR="00A3738C" w:rsidRPr="00287200" w:rsidTr="00D72A62">
        <w:trPr>
          <w:jc w:val="center"/>
        </w:trPr>
        <w:tc>
          <w:tcPr>
            <w:tcW w:w="9274" w:type="dxa"/>
            <w:gridSpan w:val="2"/>
            <w:vAlign w:val="center"/>
          </w:tcPr>
          <w:p w:rsidR="00A62292" w:rsidRPr="00287200" w:rsidRDefault="00A62292" w:rsidP="00A62292">
            <w:pPr>
              <w:pStyle w:val="Style2"/>
            </w:pPr>
            <w:r w:rsidRPr="00287200">
              <w:lastRenderedPageBreak/>
              <w:t xml:space="preserve">Confidentiality </w:t>
            </w:r>
            <w:r>
              <w:t>and Privacy</w:t>
            </w:r>
          </w:p>
          <w:p w:rsidR="00A62292" w:rsidRPr="00FD1F8E" w:rsidRDefault="00A62292" w:rsidP="00A62292">
            <w:pPr>
              <w:pStyle w:val="NormalWeb"/>
              <w:spacing w:before="200" w:after="200" w:line="276" w:lineRule="auto"/>
              <w:rPr>
                <w:rFonts w:ascii="Arial" w:hAnsi="Arial" w:cs="Arial"/>
                <w:sz w:val="20"/>
                <w:szCs w:val="22"/>
              </w:rPr>
            </w:pPr>
            <w:r w:rsidRPr="007F5C9F">
              <w:rPr>
                <w:rFonts w:ascii="Arial" w:hAnsi="Arial" w:cs="Arial"/>
                <w:sz w:val="20"/>
                <w:szCs w:val="22"/>
              </w:rPr>
              <w:t xml:space="preserve">The Department will treat all submissions as public documents, unless the author requests the submission </w:t>
            </w:r>
            <w:r>
              <w:rPr>
                <w:rFonts w:ascii="Arial" w:hAnsi="Arial" w:cs="Arial"/>
                <w:sz w:val="20"/>
                <w:szCs w:val="22"/>
              </w:rPr>
              <w:t>be treated as confidential</w:t>
            </w:r>
            <w:r w:rsidRPr="007F5C9F">
              <w:rPr>
                <w:rFonts w:ascii="Arial" w:hAnsi="Arial" w:cs="Arial"/>
                <w:sz w:val="20"/>
                <w:szCs w:val="22"/>
              </w:rPr>
              <w:t>.</w:t>
            </w:r>
          </w:p>
          <w:p w:rsidR="00A62292" w:rsidRPr="00FD1F8E" w:rsidRDefault="00A62292" w:rsidP="00A62292">
            <w:pPr>
              <w:pStyle w:val="NormalWeb"/>
              <w:spacing w:before="200" w:after="200" w:line="276" w:lineRule="auto"/>
              <w:rPr>
                <w:rFonts w:ascii="Arial" w:hAnsi="Arial" w:cs="Arial"/>
                <w:sz w:val="20"/>
                <w:szCs w:val="22"/>
              </w:rPr>
            </w:pPr>
            <w:r w:rsidRPr="00FD1F8E">
              <w:rPr>
                <w:rFonts w:ascii="Arial" w:hAnsi="Arial" w:cs="Arial"/>
                <w:sz w:val="20"/>
                <w:szCs w:val="22"/>
              </w:rPr>
              <w:t xml:space="preserve">Public submissions will be published in full on the Department’s website. </w:t>
            </w:r>
            <w:r>
              <w:rPr>
                <w:rFonts w:ascii="Arial" w:hAnsi="Arial" w:cs="Arial"/>
                <w:sz w:val="20"/>
                <w:szCs w:val="22"/>
              </w:rPr>
              <w:t xml:space="preserve">The Department will publish your name, organisation (if applicable) and state or territory with your submission. </w:t>
            </w:r>
          </w:p>
          <w:p w:rsidR="00A62292" w:rsidRPr="00FD1F8E" w:rsidRDefault="00A62292" w:rsidP="00A62292">
            <w:pPr>
              <w:pStyle w:val="NormalWeb"/>
              <w:spacing w:before="200" w:after="200" w:line="276" w:lineRule="auto"/>
              <w:rPr>
                <w:rFonts w:ascii="Arial" w:hAnsi="Arial" w:cs="Arial"/>
                <w:sz w:val="20"/>
                <w:szCs w:val="22"/>
              </w:rPr>
            </w:pPr>
            <w:r>
              <w:rPr>
                <w:rFonts w:ascii="Arial" w:hAnsi="Arial" w:cs="Arial"/>
                <w:sz w:val="20"/>
                <w:szCs w:val="22"/>
              </w:rPr>
              <w:t xml:space="preserve">A request may be </w:t>
            </w:r>
            <w:r w:rsidRPr="006F5741">
              <w:rPr>
                <w:rFonts w:ascii="Arial" w:hAnsi="Arial" w:cs="Arial"/>
                <w:sz w:val="20"/>
                <w:szCs w:val="22"/>
              </w:rPr>
              <w:t xml:space="preserve">made under the </w:t>
            </w:r>
            <w:r w:rsidRPr="006F5741">
              <w:rPr>
                <w:rFonts w:ascii="Arial" w:hAnsi="Arial" w:cs="Arial"/>
                <w:i/>
                <w:sz w:val="20"/>
                <w:szCs w:val="22"/>
              </w:rPr>
              <w:t>Freedom of Information Act 1982</w:t>
            </w:r>
            <w:r>
              <w:rPr>
                <w:rFonts w:ascii="Arial" w:hAnsi="Arial" w:cs="Arial"/>
                <w:sz w:val="20"/>
                <w:szCs w:val="22"/>
              </w:rPr>
              <w:t xml:space="preserve"> (Commonwealth</w:t>
            </w:r>
            <w:r w:rsidRPr="006F5741">
              <w:rPr>
                <w:rFonts w:ascii="Arial" w:hAnsi="Arial" w:cs="Arial"/>
                <w:sz w:val="20"/>
                <w:szCs w:val="22"/>
              </w:rPr>
              <w:t>) for a submission marked ‘confidential’ to be</w:t>
            </w:r>
            <w:r>
              <w:rPr>
                <w:rFonts w:ascii="Arial" w:hAnsi="Arial" w:cs="Arial"/>
                <w:sz w:val="20"/>
                <w:szCs w:val="22"/>
              </w:rPr>
              <w:t xml:space="preserve"> </w:t>
            </w:r>
            <w:r w:rsidRPr="006F5741">
              <w:rPr>
                <w:rFonts w:ascii="Arial" w:hAnsi="Arial" w:cs="Arial"/>
                <w:sz w:val="20"/>
                <w:szCs w:val="22"/>
              </w:rPr>
              <w:t>made available. Such requests will be determined in accordance with provisions under that Act.</w:t>
            </w:r>
          </w:p>
          <w:p w:rsidR="00A62292" w:rsidRDefault="00A62292" w:rsidP="00A62292">
            <w:pPr>
              <w:pStyle w:val="NormalWeb"/>
              <w:spacing w:before="200" w:after="200" w:line="276" w:lineRule="auto"/>
              <w:rPr>
                <w:rFonts w:ascii="Arial" w:hAnsi="Arial" w:cs="Arial"/>
                <w:sz w:val="20"/>
                <w:szCs w:val="22"/>
              </w:rPr>
            </w:pPr>
            <w:r w:rsidRPr="008E366F">
              <w:rPr>
                <w:rFonts w:ascii="Arial" w:hAnsi="Arial" w:cs="Arial"/>
                <w:sz w:val="20"/>
                <w:szCs w:val="22"/>
              </w:rPr>
              <w:t>T</w:t>
            </w:r>
            <w:r>
              <w:rPr>
                <w:rFonts w:ascii="Arial" w:hAnsi="Arial" w:cs="Arial"/>
                <w:sz w:val="20"/>
                <w:szCs w:val="22"/>
              </w:rPr>
              <w:t>he Department will deal with personal information contained in, or provided in relation to, submissions in accordance with this cover sheet and its Privacy Policy (</w:t>
            </w:r>
            <w:hyperlink r:id="rId8" w:history="1">
              <w:r w:rsidRPr="003B4C7B">
                <w:rPr>
                  <w:rStyle w:val="Hyperlink"/>
                  <w:rFonts w:ascii="Arial" w:hAnsi="Arial" w:cs="Arial"/>
                  <w:sz w:val="20"/>
                  <w:szCs w:val="22"/>
                  <w:bdr w:val="none" w:sz="0" w:space="0" w:color="auto"/>
                </w:rPr>
                <w:t>http://www.environment.gov.au/privacy-policy</w:t>
              </w:r>
            </w:hyperlink>
            <w:r>
              <w:rPr>
                <w:rFonts w:ascii="Arial" w:hAnsi="Arial" w:cs="Arial"/>
                <w:sz w:val="20"/>
                <w:szCs w:val="22"/>
              </w:rPr>
              <w:t>). That personal information is collected for the purposes of identifying authors of submissions. It may be used and disclosed within the Department and to other persons for the purposes of carrying out the review, and otherwise as required or permitted by law.</w:t>
            </w:r>
          </w:p>
          <w:p w:rsidR="003C0617" w:rsidRPr="006F5741" w:rsidRDefault="00A3738C" w:rsidP="006F5741">
            <w:pPr>
              <w:spacing w:before="120" w:after="240"/>
              <w:rPr>
                <w:rFonts w:cs="Arial"/>
                <w:b/>
                <w:sz w:val="20"/>
                <w:lang w:val="en-GB"/>
              </w:rPr>
            </w:pPr>
            <w:r w:rsidRPr="00FD1F8E">
              <w:rPr>
                <w:rFonts w:cs="Arial"/>
                <w:b/>
                <w:sz w:val="20"/>
                <w:lang w:val="en-GB"/>
              </w:rPr>
              <w:t>Do you want this submission to be treated as</w:t>
            </w:r>
            <w:r w:rsidRPr="00FD1F8E">
              <w:rPr>
                <w:rFonts w:cs="Arial"/>
                <w:b/>
                <w:bCs/>
                <w:sz w:val="20"/>
                <w:lang w:val="en-GB"/>
              </w:rPr>
              <w:t xml:space="preserve"> confidential</w:t>
            </w:r>
            <w:r w:rsidR="00EF2D98">
              <w:rPr>
                <w:rFonts w:cs="Arial"/>
                <w:b/>
                <w:sz w:val="20"/>
                <w:lang w:val="en-GB"/>
              </w:rPr>
              <w:t xml:space="preserve">? </w:t>
            </w:r>
            <w:r w:rsidR="006F5741">
              <w:rPr>
                <w:rFonts w:cs="Arial"/>
                <w:b/>
                <w:sz w:val="20"/>
                <w:lang w:val="en-GB"/>
              </w:rPr>
              <w:t xml:space="preserve">         </w:t>
            </w:r>
            <w:r w:rsidR="00EF2D98">
              <w:rPr>
                <w:rFonts w:cs="Arial"/>
                <w:b/>
                <w:sz w:val="20"/>
                <w:lang w:val="en-GB"/>
              </w:rPr>
              <w:t xml:space="preserve">  </w:t>
            </w:r>
            <w:r w:rsidRPr="00FD1F8E">
              <w:rPr>
                <w:rFonts w:cs="Arial"/>
                <w:b/>
                <w:sz w:val="20"/>
                <w:bdr w:val="single" w:sz="4" w:space="0" w:color="auto"/>
                <w:lang w:val="en-GB"/>
              </w:rPr>
              <w:t xml:space="preserve">    </w:t>
            </w:r>
            <w:r>
              <w:rPr>
                <w:rFonts w:cs="Arial"/>
                <w:b/>
                <w:sz w:val="20"/>
                <w:lang w:val="en-GB"/>
              </w:rPr>
              <w:t xml:space="preserve"> Y</w:t>
            </w:r>
            <w:r w:rsidR="003C0617">
              <w:rPr>
                <w:rFonts w:cs="Arial"/>
                <w:b/>
                <w:sz w:val="20"/>
                <w:lang w:val="en-GB"/>
              </w:rPr>
              <w:t>es</w:t>
            </w:r>
            <w:r w:rsidR="006F5741">
              <w:rPr>
                <w:rFonts w:cs="Arial"/>
                <w:b/>
                <w:sz w:val="20"/>
                <w:lang w:val="en-GB"/>
              </w:rPr>
              <w:t xml:space="preserve">       </w:t>
            </w:r>
            <w:r w:rsidR="003C0617">
              <w:rPr>
                <w:rFonts w:cs="Arial"/>
                <w:b/>
                <w:sz w:val="20"/>
                <w:lang w:val="en-GB"/>
              </w:rPr>
              <w:t xml:space="preserve">  </w:t>
            </w:r>
            <w:r w:rsidR="00151F29">
              <w:rPr>
                <w:rFonts w:cs="Arial"/>
                <w:b/>
                <w:sz w:val="20"/>
                <w:bdr w:val="single" w:sz="4" w:space="0" w:color="auto"/>
                <w:lang w:val="en-GB"/>
              </w:rPr>
              <w:t xml:space="preserve">  X</w:t>
            </w:r>
            <w:r w:rsidRPr="00FD1F8E">
              <w:rPr>
                <w:rFonts w:cs="Arial"/>
                <w:b/>
                <w:sz w:val="20"/>
                <w:bdr w:val="single" w:sz="4" w:space="0" w:color="auto"/>
                <w:lang w:val="en-GB"/>
              </w:rPr>
              <w:t xml:space="preserve"> </w:t>
            </w:r>
            <w:r>
              <w:rPr>
                <w:rFonts w:cs="Arial"/>
                <w:b/>
                <w:sz w:val="20"/>
                <w:lang w:val="en-GB"/>
              </w:rPr>
              <w:t xml:space="preserve"> No</w:t>
            </w:r>
          </w:p>
        </w:tc>
      </w:tr>
      <w:tr w:rsidR="00A3738C" w:rsidRPr="00287200" w:rsidTr="00D72A62">
        <w:trPr>
          <w:jc w:val="center"/>
        </w:trPr>
        <w:tc>
          <w:tcPr>
            <w:tcW w:w="9274" w:type="dxa"/>
            <w:gridSpan w:val="2"/>
            <w:vAlign w:val="center"/>
          </w:tcPr>
          <w:p w:rsidR="00A3738C" w:rsidRPr="00287200" w:rsidRDefault="00A3738C" w:rsidP="00A62292">
            <w:pPr>
              <w:pStyle w:val="Style2"/>
            </w:pPr>
            <w:r w:rsidRPr="00287200">
              <w:t xml:space="preserve">Submission </w:t>
            </w:r>
            <w:r w:rsidR="004F25DE">
              <w:t>I</w:t>
            </w:r>
            <w:r w:rsidRPr="00287200">
              <w:t>nstructions</w:t>
            </w:r>
          </w:p>
          <w:p w:rsidR="006A7ACB" w:rsidRPr="00AA5986" w:rsidRDefault="006A7ACB" w:rsidP="00BA3CAC">
            <w:pPr>
              <w:pStyle w:val="NormalWeb"/>
              <w:spacing w:before="200" w:after="200" w:line="276" w:lineRule="auto"/>
              <w:rPr>
                <w:rFonts w:ascii="Arial" w:hAnsi="Arial" w:cs="Arial"/>
                <w:sz w:val="20"/>
                <w:szCs w:val="22"/>
              </w:rPr>
            </w:pPr>
            <w:r>
              <w:rPr>
                <w:rFonts w:ascii="Arial" w:hAnsi="Arial" w:cs="Arial"/>
                <w:sz w:val="20"/>
                <w:szCs w:val="22"/>
              </w:rPr>
              <w:t xml:space="preserve">The submission period will </w:t>
            </w:r>
            <w:r w:rsidR="00CB2ED0">
              <w:rPr>
                <w:rFonts w:ascii="Arial" w:hAnsi="Arial" w:cs="Arial"/>
                <w:sz w:val="20"/>
                <w:szCs w:val="22"/>
              </w:rPr>
              <w:t>be open until</w:t>
            </w:r>
            <w:r>
              <w:rPr>
                <w:rFonts w:ascii="Arial" w:hAnsi="Arial" w:cs="Arial"/>
                <w:sz w:val="20"/>
                <w:szCs w:val="22"/>
              </w:rPr>
              <w:t xml:space="preserve"> close of business on </w:t>
            </w:r>
            <w:r w:rsidR="008222C2">
              <w:rPr>
                <w:rFonts w:ascii="Arial" w:hAnsi="Arial" w:cs="Arial"/>
                <w:sz w:val="20"/>
                <w:szCs w:val="22"/>
              </w:rPr>
              <w:t xml:space="preserve">Tuesday </w:t>
            </w:r>
            <w:r w:rsidRPr="00CB2ED0">
              <w:rPr>
                <w:rFonts w:ascii="Arial" w:hAnsi="Arial" w:cs="Arial"/>
                <w:b/>
                <w:sz w:val="20"/>
                <w:szCs w:val="22"/>
              </w:rPr>
              <w:t>21 February 2017</w:t>
            </w:r>
            <w:r>
              <w:rPr>
                <w:rFonts w:ascii="Arial" w:hAnsi="Arial" w:cs="Arial"/>
                <w:sz w:val="20"/>
                <w:szCs w:val="22"/>
              </w:rPr>
              <w:t xml:space="preserve">.  </w:t>
            </w:r>
          </w:p>
          <w:p w:rsidR="00A3738C" w:rsidRPr="006A7ACB" w:rsidRDefault="006A7ACB" w:rsidP="0061685C">
            <w:pPr>
              <w:pStyle w:val="NormalWeb"/>
              <w:spacing w:before="200" w:after="200" w:line="276" w:lineRule="auto"/>
              <w:rPr>
                <w:rFonts w:asciiTheme="minorHAnsi" w:hAnsiTheme="minorHAnsi"/>
                <w:szCs w:val="22"/>
              </w:rPr>
            </w:pPr>
            <w:r w:rsidRPr="006A7ACB">
              <w:rPr>
                <w:rFonts w:ascii="Arial" w:hAnsi="Arial" w:cs="Arial"/>
                <w:sz w:val="20"/>
                <w:szCs w:val="22"/>
              </w:rPr>
              <w:t xml:space="preserve">All submissions should be emailed to </w:t>
            </w:r>
            <w:r w:rsidR="0061685C">
              <w:rPr>
                <w:rFonts w:ascii="Arial" w:hAnsi="Arial" w:cs="Arial"/>
                <w:sz w:val="20"/>
                <w:szCs w:val="22"/>
              </w:rPr>
              <w:t>the NEM Security Review at the</w:t>
            </w:r>
            <w:r w:rsidRPr="006A7ACB">
              <w:rPr>
                <w:rFonts w:ascii="Arial" w:hAnsi="Arial" w:cs="Arial"/>
                <w:sz w:val="20"/>
                <w:szCs w:val="22"/>
              </w:rPr>
              <w:t xml:space="preserve"> mailbox: </w:t>
            </w:r>
            <w:hyperlink r:id="rId9" w:history="1">
              <w:r w:rsidRPr="006A7ACB">
                <w:rPr>
                  <w:rFonts w:ascii="Arial" w:hAnsi="Arial" w:cs="Arial"/>
                  <w:sz w:val="20"/>
                  <w:szCs w:val="22"/>
                </w:rPr>
                <w:t>NEMSecurityReview@environment.gov.au</w:t>
              </w:r>
            </w:hyperlink>
          </w:p>
        </w:tc>
      </w:tr>
    </w:tbl>
    <w:p w:rsidR="001215A2" w:rsidRDefault="001215A2" w:rsidP="0026141E">
      <w:pPr>
        <w:rPr>
          <w:rFonts w:asciiTheme="minorHAnsi" w:hAnsiTheme="minorHAnsi"/>
          <w:sz w:val="20"/>
          <w:szCs w:val="20"/>
        </w:rPr>
        <w:sectPr w:rsidR="001215A2" w:rsidSect="0041748B">
          <w:headerReference w:type="even" r:id="rId10"/>
          <w:headerReference w:type="default" r:id="rId11"/>
          <w:footerReference w:type="default" r:id="rId12"/>
          <w:pgSz w:w="11906" w:h="16838"/>
          <w:pgMar w:top="1440" w:right="1440" w:bottom="1440" w:left="1440" w:header="425" w:footer="425" w:gutter="0"/>
          <w:pgNumType w:start="1"/>
          <w:cols w:space="708"/>
          <w:docGrid w:linePitch="360"/>
        </w:sectPr>
      </w:pPr>
    </w:p>
    <w:p w:rsidR="0026141E" w:rsidRPr="009C239A" w:rsidRDefault="001215A2" w:rsidP="009C239A">
      <w:pPr>
        <w:spacing w:after="120" w:line="240" w:lineRule="auto"/>
        <w:rPr>
          <w:sz w:val="22"/>
        </w:rPr>
      </w:pPr>
      <w:r w:rsidRPr="009C239A">
        <w:rPr>
          <w:sz w:val="22"/>
        </w:rPr>
        <w:lastRenderedPageBreak/>
        <w:tab/>
      </w:r>
      <w:r w:rsidRPr="009C239A">
        <w:rPr>
          <w:sz w:val="22"/>
        </w:rPr>
        <w:tab/>
      </w:r>
      <w:r w:rsidRPr="009C239A">
        <w:rPr>
          <w:sz w:val="22"/>
        </w:rPr>
        <w:tab/>
      </w:r>
      <w:r w:rsidRPr="009C239A">
        <w:rPr>
          <w:sz w:val="22"/>
        </w:rPr>
        <w:tab/>
      </w:r>
      <w:r w:rsidRPr="009C239A">
        <w:rPr>
          <w:sz w:val="22"/>
        </w:rPr>
        <w:tab/>
      </w:r>
      <w:r w:rsidRPr="009C239A">
        <w:rPr>
          <w:sz w:val="22"/>
        </w:rPr>
        <w:tab/>
      </w:r>
      <w:r w:rsidRPr="009C239A">
        <w:rPr>
          <w:sz w:val="22"/>
        </w:rPr>
        <w:tab/>
      </w:r>
      <w:r w:rsidRPr="009C239A">
        <w:rPr>
          <w:sz w:val="22"/>
        </w:rPr>
        <w:tab/>
      </w:r>
      <w:r w:rsidRPr="009C239A">
        <w:rPr>
          <w:sz w:val="22"/>
        </w:rPr>
        <w:tab/>
        <w:t xml:space="preserve">21 Old </w:t>
      </w:r>
      <w:proofErr w:type="spellStart"/>
      <w:r w:rsidRPr="009C239A">
        <w:rPr>
          <w:sz w:val="22"/>
        </w:rPr>
        <w:t>Mandemar</w:t>
      </w:r>
      <w:proofErr w:type="spellEnd"/>
      <w:r w:rsidRPr="009C239A">
        <w:rPr>
          <w:sz w:val="22"/>
        </w:rPr>
        <w:t xml:space="preserve"> Road</w:t>
      </w:r>
    </w:p>
    <w:p w:rsidR="001215A2" w:rsidRPr="009C239A" w:rsidRDefault="001215A2" w:rsidP="009C239A">
      <w:pPr>
        <w:spacing w:after="120" w:line="240" w:lineRule="auto"/>
        <w:rPr>
          <w:sz w:val="22"/>
        </w:rPr>
      </w:pPr>
      <w:r w:rsidRPr="009C239A">
        <w:rPr>
          <w:sz w:val="22"/>
        </w:rPr>
        <w:tab/>
      </w:r>
      <w:r w:rsidRPr="009C239A">
        <w:rPr>
          <w:sz w:val="22"/>
        </w:rPr>
        <w:tab/>
      </w:r>
      <w:r w:rsidRPr="009C239A">
        <w:rPr>
          <w:sz w:val="22"/>
        </w:rPr>
        <w:tab/>
      </w:r>
      <w:r w:rsidRPr="009C239A">
        <w:rPr>
          <w:sz w:val="22"/>
        </w:rPr>
        <w:tab/>
      </w:r>
      <w:r w:rsidRPr="009C239A">
        <w:rPr>
          <w:sz w:val="22"/>
        </w:rPr>
        <w:tab/>
      </w:r>
      <w:r w:rsidRPr="009C239A">
        <w:rPr>
          <w:sz w:val="22"/>
        </w:rPr>
        <w:tab/>
      </w:r>
      <w:r w:rsidRPr="009C239A">
        <w:rPr>
          <w:sz w:val="22"/>
        </w:rPr>
        <w:tab/>
      </w:r>
      <w:r w:rsidRPr="009C239A">
        <w:rPr>
          <w:sz w:val="22"/>
        </w:rPr>
        <w:tab/>
      </w:r>
      <w:r w:rsidRPr="009C239A">
        <w:rPr>
          <w:sz w:val="22"/>
        </w:rPr>
        <w:tab/>
        <w:t>Berrima</w:t>
      </w:r>
    </w:p>
    <w:p w:rsidR="001215A2" w:rsidRPr="009C239A" w:rsidRDefault="001215A2" w:rsidP="009C239A">
      <w:pPr>
        <w:spacing w:after="120" w:line="240" w:lineRule="auto"/>
        <w:rPr>
          <w:sz w:val="22"/>
        </w:rPr>
      </w:pPr>
      <w:r w:rsidRPr="009C239A">
        <w:rPr>
          <w:sz w:val="22"/>
        </w:rPr>
        <w:tab/>
      </w:r>
      <w:r w:rsidRPr="009C239A">
        <w:rPr>
          <w:sz w:val="22"/>
        </w:rPr>
        <w:tab/>
      </w:r>
      <w:r w:rsidRPr="009C239A">
        <w:rPr>
          <w:sz w:val="22"/>
        </w:rPr>
        <w:tab/>
      </w:r>
      <w:r w:rsidRPr="009C239A">
        <w:rPr>
          <w:sz w:val="22"/>
        </w:rPr>
        <w:tab/>
      </w:r>
      <w:r w:rsidRPr="009C239A">
        <w:rPr>
          <w:sz w:val="22"/>
        </w:rPr>
        <w:tab/>
      </w:r>
      <w:r w:rsidRPr="009C239A">
        <w:rPr>
          <w:sz w:val="22"/>
        </w:rPr>
        <w:tab/>
      </w:r>
      <w:r w:rsidRPr="009C239A">
        <w:rPr>
          <w:sz w:val="22"/>
        </w:rPr>
        <w:tab/>
      </w:r>
      <w:r w:rsidRPr="009C239A">
        <w:rPr>
          <w:sz w:val="22"/>
        </w:rPr>
        <w:tab/>
      </w:r>
      <w:r w:rsidRPr="009C239A">
        <w:rPr>
          <w:sz w:val="22"/>
        </w:rPr>
        <w:tab/>
        <w:t>NSW 2577</w:t>
      </w:r>
    </w:p>
    <w:p w:rsidR="001215A2" w:rsidRPr="009C239A" w:rsidRDefault="001215A2" w:rsidP="009C239A">
      <w:pPr>
        <w:spacing w:after="120" w:line="240" w:lineRule="auto"/>
        <w:rPr>
          <w:sz w:val="22"/>
        </w:rPr>
      </w:pPr>
      <w:r w:rsidRPr="009C239A">
        <w:rPr>
          <w:sz w:val="22"/>
        </w:rPr>
        <w:tab/>
      </w:r>
      <w:r w:rsidRPr="009C239A">
        <w:rPr>
          <w:sz w:val="22"/>
        </w:rPr>
        <w:tab/>
      </w:r>
      <w:r w:rsidRPr="009C239A">
        <w:rPr>
          <w:sz w:val="22"/>
        </w:rPr>
        <w:tab/>
      </w:r>
      <w:r w:rsidRPr="009C239A">
        <w:rPr>
          <w:sz w:val="22"/>
        </w:rPr>
        <w:tab/>
      </w:r>
      <w:r w:rsidRPr="009C239A">
        <w:rPr>
          <w:sz w:val="22"/>
        </w:rPr>
        <w:tab/>
      </w:r>
      <w:r w:rsidRPr="009C239A">
        <w:rPr>
          <w:sz w:val="22"/>
        </w:rPr>
        <w:tab/>
      </w:r>
      <w:r w:rsidRPr="009C239A">
        <w:rPr>
          <w:sz w:val="22"/>
        </w:rPr>
        <w:tab/>
      </w:r>
      <w:r w:rsidRPr="009C239A">
        <w:rPr>
          <w:sz w:val="22"/>
        </w:rPr>
        <w:tab/>
      </w:r>
      <w:r w:rsidRPr="009C239A">
        <w:rPr>
          <w:sz w:val="22"/>
        </w:rPr>
        <w:tab/>
        <w:t>16</w:t>
      </w:r>
      <w:r w:rsidRPr="009C239A">
        <w:rPr>
          <w:sz w:val="22"/>
          <w:vertAlign w:val="superscript"/>
        </w:rPr>
        <w:t>th</w:t>
      </w:r>
      <w:r w:rsidRPr="009C239A">
        <w:rPr>
          <w:sz w:val="22"/>
        </w:rPr>
        <w:t xml:space="preserve"> February, 2017</w:t>
      </w:r>
    </w:p>
    <w:p w:rsidR="001215A2" w:rsidRPr="009C239A" w:rsidRDefault="001215A2" w:rsidP="001215A2">
      <w:pPr>
        <w:pStyle w:val="Heading2"/>
        <w:spacing w:before="120" w:line="240" w:lineRule="auto"/>
        <w:jc w:val="center"/>
        <w:rPr>
          <w:rFonts w:cs="Times New Roman"/>
          <w:smallCaps/>
          <w:sz w:val="22"/>
        </w:rPr>
      </w:pPr>
      <w:r w:rsidRPr="009C239A">
        <w:rPr>
          <w:rFonts w:cs="Times New Roman"/>
          <w:sz w:val="22"/>
        </w:rPr>
        <w:t>Response to the Independent Review Into the Future</w:t>
      </w:r>
    </w:p>
    <w:p w:rsidR="001215A2" w:rsidRPr="009C239A" w:rsidRDefault="001215A2" w:rsidP="001215A2">
      <w:pPr>
        <w:pStyle w:val="Heading2"/>
        <w:spacing w:before="120" w:line="240" w:lineRule="auto"/>
        <w:jc w:val="center"/>
        <w:rPr>
          <w:rFonts w:cs="Times New Roman"/>
          <w:smallCaps/>
          <w:sz w:val="22"/>
        </w:rPr>
      </w:pPr>
      <w:r w:rsidRPr="009C239A">
        <w:rPr>
          <w:rFonts w:cs="Times New Roman"/>
          <w:sz w:val="22"/>
        </w:rPr>
        <w:t>Security of the National Electricity Market</w:t>
      </w:r>
      <w:r w:rsidRPr="009C239A">
        <w:rPr>
          <w:rFonts w:cs="Times New Roman"/>
          <w:sz w:val="22"/>
        </w:rPr>
        <w:tab/>
      </w:r>
    </w:p>
    <w:p w:rsidR="001215A2" w:rsidRPr="009C239A" w:rsidRDefault="001215A2" w:rsidP="001215A2">
      <w:pPr>
        <w:rPr>
          <w:rFonts w:cs="ONGPL A+ Adv O Tf 2586c 63. I"/>
          <w:sz w:val="22"/>
        </w:rPr>
      </w:pPr>
      <w:r w:rsidRPr="009C239A">
        <w:rPr>
          <w:sz w:val="22"/>
        </w:rPr>
        <w:t>Real-world integration of clima</w:t>
      </w:r>
      <w:r w:rsidR="00FE4668">
        <w:rPr>
          <w:sz w:val="22"/>
        </w:rPr>
        <w:t>te change and electricity trajectories</w:t>
      </w:r>
      <w:r w:rsidRPr="009C239A">
        <w:rPr>
          <w:sz w:val="22"/>
        </w:rPr>
        <w:t xml:space="preserve"> will be required for policy to succeed against the three fundamental objectives of reliability, affordability, and reduced greenhouse gas emissions</w:t>
      </w:r>
      <w:r w:rsidR="009C239A" w:rsidRPr="009C239A">
        <w:rPr>
          <w:sz w:val="22"/>
        </w:rPr>
        <w:t>.</w:t>
      </w:r>
      <w:r w:rsidRPr="009C239A">
        <w:rPr>
          <w:sz w:val="22"/>
        </w:rPr>
        <w:t xml:space="preserve"> </w:t>
      </w:r>
      <w:r w:rsidR="009C239A" w:rsidRPr="009C239A">
        <w:rPr>
          <w:rFonts w:cs="ONGPL A+ Adv O Tf 2586c 63. I"/>
          <w:sz w:val="22"/>
        </w:rPr>
        <w:t>I am</w:t>
      </w:r>
      <w:r w:rsidRPr="009C239A">
        <w:rPr>
          <w:rFonts w:cs="ONGPL A+ Adv O Tf 2586c 63. I"/>
          <w:sz w:val="22"/>
        </w:rPr>
        <w:t xml:space="preserve"> most concerned that the final report will be fundamentally compromised by its failure to include specific reference to the benefits of nuclear energy in achieving these three </w:t>
      </w:r>
      <w:r w:rsidR="00FE4668">
        <w:rPr>
          <w:rFonts w:cs="ONGPL A+ Adv O Tf 2586c 63. I"/>
          <w:sz w:val="22"/>
        </w:rPr>
        <w:t>core</w:t>
      </w:r>
      <w:r w:rsidRPr="009C239A">
        <w:rPr>
          <w:rFonts w:cs="ONGPL A+ Adv O Tf 2586c 63. I"/>
          <w:sz w:val="22"/>
        </w:rPr>
        <w:t xml:space="preserve"> objectives. It's clear that the Chief Scientist is fully informed and aware of all the benefits of nuclear electricity generation. Of its safety, economics, low emissions and reliability. </w:t>
      </w:r>
    </w:p>
    <w:p w:rsidR="009C239A" w:rsidRPr="009C239A" w:rsidRDefault="009C239A" w:rsidP="001215A2">
      <w:pPr>
        <w:rPr>
          <w:rFonts w:cs="ONGPL A+ Adv O Tf 2586c 63. I"/>
          <w:sz w:val="22"/>
        </w:rPr>
      </w:pPr>
      <w:r w:rsidRPr="009C239A">
        <w:rPr>
          <w:sz w:val="22"/>
        </w:rPr>
        <w:t>As the Chief Scientist well knows in any International comparison we see a close correlation between countries with low carbon emitting electricity generation and nuclear energy. Note in particular the emissions intensity of Sweden, Switzerland and France which have already achieved carbon emissions intensities in line with the UNFCC targets for 2050.</w:t>
      </w:r>
    </w:p>
    <w:p w:rsidR="009C239A" w:rsidRPr="009C239A" w:rsidRDefault="009C239A" w:rsidP="001215A2">
      <w:pPr>
        <w:rPr>
          <w:rFonts w:cs="ONGPL A+ Adv O Tf 2586c 63. I"/>
          <w:sz w:val="22"/>
        </w:rPr>
      </w:pPr>
      <w:r w:rsidRPr="009C239A">
        <w:rPr>
          <w:rFonts w:cs="ONGPL A+ Adv O Tf 2586c 63. I"/>
          <w:sz w:val="22"/>
        </w:rPr>
        <w:t>In</w:t>
      </w:r>
      <w:r w:rsidR="001215A2" w:rsidRPr="009C239A">
        <w:rPr>
          <w:rFonts w:cs="ONGPL A+ Adv O Tf 2586c 63. I"/>
          <w:sz w:val="22"/>
        </w:rPr>
        <w:t xml:space="preserve"> the arena of public opinion </w:t>
      </w:r>
      <w:r w:rsidRPr="009C239A">
        <w:rPr>
          <w:rFonts w:cs="ONGPL A+ Adv O Tf 2586c 63. I"/>
          <w:sz w:val="22"/>
        </w:rPr>
        <w:t xml:space="preserve">there is concern that </w:t>
      </w:r>
      <w:r w:rsidR="001215A2" w:rsidRPr="009C239A">
        <w:rPr>
          <w:rFonts w:cs="ONGPL A+ Adv O Tf 2586c 63. I"/>
          <w:sz w:val="22"/>
        </w:rPr>
        <w:t xml:space="preserve">nuclear is seen as being too divisive an issue. The public has been conditioned to accept that the challenge of climate change can be addressed by the "ice cream" solution. That if we just built more low intensity passive devices which address a minor portion of 12% of our emissions sources, namely residential electricity, then everything will be O.K. </w:t>
      </w:r>
    </w:p>
    <w:p w:rsidR="001215A2" w:rsidRPr="009C239A" w:rsidRDefault="001215A2" w:rsidP="001215A2">
      <w:pPr>
        <w:rPr>
          <w:rFonts w:cs="ONGPL A+ Adv O Tf 2586c 63. I"/>
          <w:sz w:val="22"/>
        </w:rPr>
      </w:pPr>
      <w:r w:rsidRPr="009C239A">
        <w:rPr>
          <w:rFonts w:cs="ONGPL A+ Adv O Tf 2586c 63. I"/>
          <w:sz w:val="22"/>
        </w:rPr>
        <w:t>What is not addressed within the political or policy arena is the massive task ahead of meeting effective emissions goals. In any study seeking to define a trajectory for Australia's future energy policy a core requirement will be a realistic assessment of the amount of clean energy required to address emissions goals.</w:t>
      </w:r>
    </w:p>
    <w:p w:rsidR="009C239A" w:rsidRPr="009C239A" w:rsidRDefault="009C239A" w:rsidP="009C239A">
      <w:pPr>
        <w:rPr>
          <w:rFonts w:cs="Arial"/>
          <w:sz w:val="22"/>
        </w:rPr>
      </w:pPr>
      <w:r w:rsidRPr="009C239A">
        <w:rPr>
          <w:rFonts w:cs="Arial"/>
          <w:sz w:val="22"/>
        </w:rPr>
        <w:t xml:space="preserve">The Preliminary Report has failed to align the electricity generating options to the required greenhouse targets as recommended by the UNFCC in 2050.  The Preliminary Report limits its brief to current 2030 targets yet we need to be planning now for periods well past 2050 and not short term targets up to 2030. Robust high quality baseload generating systems such as nuclear power plants can readily last for 80 years and take Australia through to the end of this century. </w:t>
      </w:r>
    </w:p>
    <w:p w:rsidR="009C239A" w:rsidRPr="009C239A" w:rsidRDefault="009C239A" w:rsidP="009C239A">
      <w:pPr>
        <w:rPr>
          <w:sz w:val="22"/>
        </w:rPr>
      </w:pPr>
      <w:r w:rsidRPr="009C239A">
        <w:rPr>
          <w:sz w:val="22"/>
        </w:rPr>
        <w:t>In seeking to demonstrate that renewables are the key to replacing fossil fuels, the  PR runs the risk of treating renewables as a societal end in themselves, instead of just options among a suite of technologies that could be used to achieve the combined goals of environmental protection, cost-containment, and electric system reliability.</w:t>
      </w:r>
    </w:p>
    <w:p w:rsidR="009C239A" w:rsidRPr="009C239A" w:rsidRDefault="009C239A" w:rsidP="009C239A">
      <w:pPr>
        <w:rPr>
          <w:sz w:val="22"/>
        </w:rPr>
      </w:pPr>
      <w:r w:rsidRPr="009C239A">
        <w:rPr>
          <w:sz w:val="22"/>
        </w:rPr>
        <w:t>Finally, there is considerable concern that the Independent role of the Chief Scientist is being compromised by failing to provide frank and fearless advice and by failing to include specific reference to nuclear energy. This failure will prevent early action on emissions reductions and exacerbate the problem.</w:t>
      </w:r>
    </w:p>
    <w:p w:rsidR="009C239A" w:rsidRPr="009C239A" w:rsidRDefault="009C239A" w:rsidP="009C239A">
      <w:pPr>
        <w:rPr>
          <w:sz w:val="22"/>
        </w:rPr>
      </w:pPr>
      <w:r w:rsidRPr="009C239A">
        <w:rPr>
          <w:sz w:val="22"/>
        </w:rPr>
        <w:t>If the Australian people cannot obtain such advice from the Chief Scientist then to whom do they turn?</w:t>
      </w:r>
    </w:p>
    <w:p w:rsidR="009C239A" w:rsidRPr="009C239A" w:rsidRDefault="009C239A" w:rsidP="009C239A">
      <w:pPr>
        <w:rPr>
          <w:sz w:val="22"/>
        </w:rPr>
      </w:pPr>
      <w:r w:rsidRPr="009C239A">
        <w:rPr>
          <w:sz w:val="22"/>
        </w:rPr>
        <w:t>To whom should my grandchildren turn to for answers when our generation has failed to act decisively and destroyed their inheritance and that of all the innocent species on this planet?</w:t>
      </w:r>
    </w:p>
    <w:p w:rsidR="001215A2" w:rsidRDefault="001E18C8" w:rsidP="001215A2">
      <w:r>
        <w:t>Yours faithfully</w:t>
      </w:r>
    </w:p>
    <w:p w:rsidR="001E18C8" w:rsidRDefault="00741D02" w:rsidP="001215A2">
      <w:r>
        <w:rPr>
          <w:noProof/>
          <w:lang w:eastAsia="en-AU"/>
        </w:rPr>
        <w:drawing>
          <wp:inline distT="0" distB="0" distL="0" distR="0">
            <wp:extent cx="938784" cy="548640"/>
            <wp:effectExtent l="19050" t="0" r="0" b="0"/>
            <wp:docPr id="2" name="Picture 1" descr="Copy of Sig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Sign.bmp"/>
                    <pic:cNvPicPr/>
                  </pic:nvPicPr>
                  <pic:blipFill>
                    <a:blip r:embed="rId13" cstate="print"/>
                    <a:stretch>
                      <a:fillRect/>
                    </a:stretch>
                  </pic:blipFill>
                  <pic:spPr>
                    <a:xfrm>
                      <a:off x="0" y="0"/>
                      <a:ext cx="938784" cy="548640"/>
                    </a:xfrm>
                    <a:prstGeom prst="rect">
                      <a:avLst/>
                    </a:prstGeom>
                  </pic:spPr>
                </pic:pic>
              </a:graphicData>
            </a:graphic>
          </wp:inline>
        </w:drawing>
      </w:r>
    </w:p>
    <w:p w:rsidR="001E18C8" w:rsidRDefault="001E18C8" w:rsidP="001215A2">
      <w:r>
        <w:t>Robert James Parker</w:t>
      </w:r>
    </w:p>
    <w:p w:rsidR="001215A2" w:rsidRPr="0026141E" w:rsidRDefault="001215A2" w:rsidP="0026141E">
      <w:pPr>
        <w:rPr>
          <w:rFonts w:asciiTheme="minorHAnsi" w:hAnsiTheme="minorHAnsi"/>
          <w:sz w:val="20"/>
          <w:szCs w:val="20"/>
        </w:rPr>
      </w:pPr>
    </w:p>
    <w:sectPr w:rsidR="001215A2" w:rsidRPr="0026141E" w:rsidSect="009C239A">
      <w:headerReference w:type="default" r:id="rId14"/>
      <w:pgSz w:w="11906" w:h="16838"/>
      <w:pgMar w:top="720" w:right="720" w:bottom="720" w:left="720" w:header="425" w:footer="425"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ADD" w:rsidRDefault="00926ADD" w:rsidP="00A60185">
      <w:pPr>
        <w:spacing w:after="0" w:line="240" w:lineRule="auto"/>
      </w:pPr>
      <w:r>
        <w:separator/>
      </w:r>
    </w:p>
  </w:endnote>
  <w:endnote w:type="continuationSeparator" w:id="0">
    <w:p w:rsidR="00926ADD" w:rsidRDefault="00926ADD" w:rsidP="00A601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NGPL A+ Adv O Tf 2586c 63. I">
    <w:altName w:val="Adv OTf 258 6c 63 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303115"/>
      <w:docPartObj>
        <w:docPartGallery w:val="Page Numbers (Bottom of Page)"/>
        <w:docPartUnique/>
      </w:docPartObj>
    </w:sdtPr>
    <w:sdtEndPr>
      <w:rPr>
        <w:noProof/>
      </w:rPr>
    </w:sdtEndPr>
    <w:sdtContent>
      <w:p w:rsidR="0041748B" w:rsidRDefault="00A53B0A">
        <w:pPr>
          <w:pStyle w:val="Footer"/>
          <w:jc w:val="center"/>
        </w:pPr>
        <w:r>
          <w:fldChar w:fldCharType="begin"/>
        </w:r>
        <w:r w:rsidR="0041748B">
          <w:instrText xml:space="preserve"> PAGE   \* MERGEFORMAT </w:instrText>
        </w:r>
        <w:r>
          <w:fldChar w:fldCharType="separate"/>
        </w:r>
        <w:r w:rsidR="00741D02">
          <w:rPr>
            <w:noProof/>
          </w:rPr>
          <w:t>1</w:t>
        </w:r>
        <w:r>
          <w:rPr>
            <w:noProof/>
          </w:rPr>
          <w:fldChar w:fldCharType="end"/>
        </w:r>
      </w:p>
    </w:sdtContent>
  </w:sdt>
  <w:p w:rsidR="00100BEF" w:rsidRDefault="00100BE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ADD" w:rsidRDefault="00926ADD" w:rsidP="00A60185">
      <w:pPr>
        <w:spacing w:after="0" w:line="240" w:lineRule="auto"/>
      </w:pPr>
      <w:r>
        <w:separator/>
      </w:r>
    </w:p>
  </w:footnote>
  <w:footnote w:type="continuationSeparator" w:id="0">
    <w:p w:rsidR="00926ADD" w:rsidRDefault="00926ADD" w:rsidP="00A601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BEF" w:rsidRDefault="00A53B0A" w:rsidP="00E45765">
    <w:pPr>
      <w:pStyle w:val="Classification"/>
    </w:pPr>
    <w:r>
      <w:fldChar w:fldCharType="begin"/>
    </w:r>
    <w:r w:rsidR="00166690">
      <w:instrText xml:space="preserve"> DOCPROPERTY SecurityClassification \* MERGEFORMAT </w:instrText>
    </w:r>
    <w:r>
      <w:fldChar w:fldCharType="separate"/>
    </w:r>
    <w:r w:rsidR="00DD2E6F">
      <w:rPr>
        <w:b/>
        <w:bCs/>
        <w:lang w:val="en-US"/>
      </w:rPr>
      <w:t>Error! Unknown document property name.</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410" w:rsidRDefault="00C64410" w:rsidP="00C64410">
    <w:pPr>
      <w:pStyle w:val="Header"/>
      <w:jc w:val="center"/>
    </w:pPr>
    <w:r>
      <w:rPr>
        <w:noProof/>
        <w:lang w:eastAsia="en-AU"/>
      </w:rPr>
      <w:drawing>
        <wp:inline distT="0" distB="0" distL="0" distR="0">
          <wp:extent cx="3264838" cy="82848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tene-inline-black-small.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64838" cy="828483"/>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5A2" w:rsidRDefault="001215A2" w:rsidP="00C6441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6A4D88"/>
    <w:lvl w:ilvl="0">
      <w:start w:val="1"/>
      <w:numFmt w:val="decimal"/>
      <w:lvlText w:val="%1."/>
      <w:lvlJc w:val="left"/>
      <w:pPr>
        <w:tabs>
          <w:tab w:val="num" w:pos="1492"/>
        </w:tabs>
        <w:ind w:left="1492" w:hanging="360"/>
      </w:pPr>
    </w:lvl>
  </w:abstractNum>
  <w:abstractNum w:abstractNumId="1">
    <w:nsid w:val="FFFFFF7D"/>
    <w:multiLevelType w:val="singleLevel"/>
    <w:tmpl w:val="2090A8FA"/>
    <w:lvl w:ilvl="0">
      <w:start w:val="1"/>
      <w:numFmt w:val="decimal"/>
      <w:lvlText w:val="%1."/>
      <w:lvlJc w:val="left"/>
      <w:pPr>
        <w:tabs>
          <w:tab w:val="num" w:pos="1209"/>
        </w:tabs>
        <w:ind w:left="1209" w:hanging="360"/>
      </w:pPr>
    </w:lvl>
  </w:abstractNum>
  <w:abstractNum w:abstractNumId="2">
    <w:nsid w:val="FFFFFF7E"/>
    <w:multiLevelType w:val="singleLevel"/>
    <w:tmpl w:val="8D462BDC"/>
    <w:lvl w:ilvl="0">
      <w:start w:val="1"/>
      <w:numFmt w:val="decimal"/>
      <w:lvlText w:val="%1."/>
      <w:lvlJc w:val="left"/>
      <w:pPr>
        <w:tabs>
          <w:tab w:val="num" w:pos="926"/>
        </w:tabs>
        <w:ind w:left="926" w:hanging="360"/>
      </w:pPr>
    </w:lvl>
  </w:abstractNum>
  <w:abstractNum w:abstractNumId="3">
    <w:nsid w:val="FFFFFF7F"/>
    <w:multiLevelType w:val="singleLevel"/>
    <w:tmpl w:val="77B8748C"/>
    <w:lvl w:ilvl="0">
      <w:start w:val="1"/>
      <w:numFmt w:val="decimal"/>
      <w:lvlText w:val="%1."/>
      <w:lvlJc w:val="left"/>
      <w:pPr>
        <w:tabs>
          <w:tab w:val="num" w:pos="643"/>
        </w:tabs>
        <w:ind w:left="643" w:hanging="360"/>
      </w:pPr>
    </w:lvl>
  </w:abstractNum>
  <w:abstractNum w:abstractNumId="4">
    <w:nsid w:val="FFFFFF80"/>
    <w:multiLevelType w:val="singleLevel"/>
    <w:tmpl w:val="F32A3D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446F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428B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5CEE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D68994"/>
    <w:lvl w:ilvl="0">
      <w:start w:val="1"/>
      <w:numFmt w:val="decimal"/>
      <w:lvlText w:val="%1."/>
      <w:lvlJc w:val="left"/>
      <w:pPr>
        <w:tabs>
          <w:tab w:val="num" w:pos="360"/>
        </w:tabs>
        <w:ind w:left="360" w:hanging="360"/>
      </w:pPr>
    </w:lvl>
  </w:abstractNum>
  <w:abstractNum w:abstractNumId="9">
    <w:nsid w:val="FFFFFF89"/>
    <w:multiLevelType w:val="singleLevel"/>
    <w:tmpl w:val="FA5AF63A"/>
    <w:lvl w:ilvl="0">
      <w:start w:val="1"/>
      <w:numFmt w:val="bullet"/>
      <w:lvlText w:val=""/>
      <w:lvlJc w:val="left"/>
      <w:pPr>
        <w:tabs>
          <w:tab w:val="num" w:pos="360"/>
        </w:tabs>
        <w:ind w:left="360" w:hanging="360"/>
      </w:pPr>
      <w:rPr>
        <w:rFonts w:ascii="Symbol" w:hAnsi="Symbol" w:hint="default"/>
      </w:rPr>
    </w:lvl>
  </w:abstractNum>
  <w:abstractNum w:abstractNumId="1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1">
    <w:nsid w:val="05EC64B3"/>
    <w:multiLevelType w:val="multilevel"/>
    <w:tmpl w:val="E5E89F92"/>
    <w:numStyleLink w:val="BulletList"/>
  </w:abstractNum>
  <w:abstractNum w:abstractNumId="12">
    <w:nsid w:val="073123A7"/>
    <w:multiLevelType w:val="hybridMultilevel"/>
    <w:tmpl w:val="0C09000F"/>
    <w:lvl w:ilvl="0" w:tplc="95706B16">
      <w:start w:val="1"/>
      <w:numFmt w:val="decimal"/>
      <w:lvlText w:val="%1."/>
      <w:lvlJc w:val="left"/>
      <w:pPr>
        <w:ind w:left="720" w:hanging="360"/>
      </w:pPr>
      <w:rPr>
        <w:rFonts w:hint="default"/>
      </w:rPr>
    </w:lvl>
    <w:lvl w:ilvl="1" w:tplc="8342DD4A" w:tentative="1">
      <w:start w:val="1"/>
      <w:numFmt w:val="lowerLetter"/>
      <w:lvlText w:val="%2."/>
      <w:lvlJc w:val="left"/>
      <w:pPr>
        <w:ind w:left="1440" w:hanging="360"/>
      </w:pPr>
      <w:rPr>
        <w:rFonts w:hint="default"/>
      </w:rPr>
    </w:lvl>
    <w:lvl w:ilvl="2" w:tplc="23329D6A">
      <w:start w:val="1"/>
      <w:numFmt w:val="lowerRoman"/>
      <w:lvlText w:val="%3."/>
      <w:lvlJc w:val="right"/>
      <w:pPr>
        <w:ind w:left="2160" w:hanging="180"/>
      </w:pPr>
      <w:rPr>
        <w:rFonts w:hint="default"/>
      </w:rPr>
    </w:lvl>
    <w:lvl w:ilvl="3" w:tplc="64522FCE">
      <w:start w:val="1"/>
      <w:numFmt w:val="decimal"/>
      <w:lvlText w:val="%4."/>
      <w:lvlJc w:val="left"/>
      <w:pPr>
        <w:ind w:left="2880" w:hanging="360"/>
      </w:pPr>
      <w:rPr>
        <w:rFonts w:hint="default"/>
      </w:rPr>
    </w:lvl>
    <w:lvl w:ilvl="4" w:tplc="7FDCB4C0" w:tentative="1">
      <w:start w:val="1"/>
      <w:numFmt w:val="lowerLetter"/>
      <w:lvlText w:val="%5."/>
      <w:lvlJc w:val="left"/>
      <w:pPr>
        <w:ind w:left="3600" w:hanging="360"/>
      </w:pPr>
      <w:rPr>
        <w:rFonts w:hint="default"/>
      </w:rPr>
    </w:lvl>
    <w:lvl w:ilvl="5" w:tplc="DDE6527E" w:tentative="1">
      <w:start w:val="1"/>
      <w:numFmt w:val="lowerRoman"/>
      <w:lvlText w:val="%6."/>
      <w:lvlJc w:val="right"/>
      <w:pPr>
        <w:ind w:left="4320" w:hanging="180"/>
      </w:pPr>
      <w:rPr>
        <w:rFonts w:hint="default"/>
      </w:rPr>
    </w:lvl>
    <w:lvl w:ilvl="6" w:tplc="189C8CAC" w:tentative="1">
      <w:start w:val="1"/>
      <w:numFmt w:val="decimal"/>
      <w:lvlText w:val="%7."/>
      <w:lvlJc w:val="left"/>
      <w:pPr>
        <w:ind w:left="5040" w:hanging="360"/>
      </w:pPr>
      <w:rPr>
        <w:rFonts w:hint="default"/>
      </w:rPr>
    </w:lvl>
    <w:lvl w:ilvl="7" w:tplc="1D6AD1D4" w:tentative="1">
      <w:start w:val="1"/>
      <w:numFmt w:val="lowerLetter"/>
      <w:lvlText w:val="%8."/>
      <w:lvlJc w:val="left"/>
      <w:pPr>
        <w:ind w:left="5760" w:hanging="360"/>
      </w:pPr>
      <w:rPr>
        <w:rFonts w:hint="default"/>
      </w:rPr>
    </w:lvl>
    <w:lvl w:ilvl="8" w:tplc="48BA8832" w:tentative="1">
      <w:start w:val="1"/>
      <w:numFmt w:val="lowerRoman"/>
      <w:lvlText w:val="%9."/>
      <w:lvlJc w:val="right"/>
      <w:pPr>
        <w:ind w:left="6480" w:hanging="180"/>
      </w:pPr>
      <w:rPr>
        <w:rFonts w:hint="default"/>
      </w:rPr>
    </w:lvl>
  </w:abstractNum>
  <w:abstractNum w:abstractNumId="13">
    <w:nsid w:val="0DCC7901"/>
    <w:multiLevelType w:val="hybridMultilevel"/>
    <w:tmpl w:val="F97493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4AB21CC"/>
    <w:multiLevelType w:val="multilevel"/>
    <w:tmpl w:val="E898CC72"/>
    <w:numStyleLink w:val="KeyPoints"/>
  </w:abstractNum>
  <w:abstractNum w:abstractNumId="15">
    <w:nsid w:val="1784511A"/>
    <w:multiLevelType w:val="multilevel"/>
    <w:tmpl w:val="E898CC72"/>
    <w:numStyleLink w:val="KeyPoints"/>
  </w:abstractNum>
  <w:abstractNum w:abstractNumId="16">
    <w:nsid w:val="198F4124"/>
    <w:multiLevelType w:val="hybridMultilevel"/>
    <w:tmpl w:val="929E3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C291970"/>
    <w:multiLevelType w:val="multilevel"/>
    <w:tmpl w:val="E898CC72"/>
    <w:numStyleLink w:val="KeyPoints"/>
  </w:abstractNum>
  <w:abstractNum w:abstractNumId="18">
    <w:nsid w:val="1F745BC2"/>
    <w:multiLevelType w:val="multilevel"/>
    <w:tmpl w:val="E5E89F92"/>
    <w:numStyleLink w:val="BulletList"/>
  </w:abstractNum>
  <w:abstractNum w:abstractNumId="19">
    <w:nsid w:val="29253B4A"/>
    <w:multiLevelType w:val="multilevel"/>
    <w:tmpl w:val="E898CC72"/>
    <w:numStyleLink w:val="KeyPoints"/>
  </w:abstractNum>
  <w:abstractNum w:abstractNumId="20">
    <w:nsid w:val="2C1B4F6C"/>
    <w:multiLevelType w:val="multilevel"/>
    <w:tmpl w:val="E898CC72"/>
    <w:numStyleLink w:val="KeyPoints"/>
  </w:abstractNum>
  <w:abstractNum w:abstractNumId="21">
    <w:nsid w:val="30225151"/>
    <w:multiLevelType w:val="multilevel"/>
    <w:tmpl w:val="3B2C814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2">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8816F9C"/>
    <w:multiLevelType w:val="multilevel"/>
    <w:tmpl w:val="E5E89F92"/>
    <w:numStyleLink w:val="BulletList"/>
  </w:abstractNum>
  <w:abstractNum w:abstractNumId="25">
    <w:nsid w:val="3B351B82"/>
    <w:multiLevelType w:val="multilevel"/>
    <w:tmpl w:val="E5E89F92"/>
    <w:numStyleLink w:val="BulletList"/>
  </w:abstractNum>
  <w:abstractNum w:abstractNumId="26">
    <w:nsid w:val="48B871CF"/>
    <w:multiLevelType w:val="multilevel"/>
    <w:tmpl w:val="E5E89F92"/>
    <w:numStyleLink w:val="BulletList"/>
  </w:abstractNum>
  <w:abstractNum w:abstractNumId="27">
    <w:nsid w:val="49016841"/>
    <w:multiLevelType w:val="multilevel"/>
    <w:tmpl w:val="E5E89F92"/>
    <w:numStyleLink w:val="BulletList"/>
  </w:abstractNum>
  <w:abstractNum w:abstractNumId="28">
    <w:nsid w:val="51A44175"/>
    <w:multiLevelType w:val="multilevel"/>
    <w:tmpl w:val="E5E89F92"/>
    <w:numStyleLink w:val="BulletList"/>
  </w:abstractNum>
  <w:abstractNum w:abstractNumId="29">
    <w:nsid w:val="59683F9E"/>
    <w:multiLevelType w:val="hybridMultilevel"/>
    <w:tmpl w:val="AA84FF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5456429"/>
    <w:multiLevelType w:val="multilevel"/>
    <w:tmpl w:val="E898CC72"/>
    <w:numStyleLink w:val="KeyPoints"/>
  </w:abstractNum>
  <w:abstractNum w:abstractNumId="31">
    <w:nsid w:val="672E0C2A"/>
    <w:multiLevelType w:val="multilevel"/>
    <w:tmpl w:val="E5E89F92"/>
    <w:numStyleLink w:val="BulletList"/>
  </w:abstractNum>
  <w:abstractNum w:abstractNumId="32">
    <w:nsid w:val="674B011C"/>
    <w:multiLevelType w:val="multilevel"/>
    <w:tmpl w:val="72C09BA0"/>
    <w:lvl w:ilvl="0">
      <w:start w:val="1"/>
      <w:numFmt w:val="decimal"/>
      <w:lvlText w:val="%1."/>
      <w:lvlJc w:val="left"/>
      <w:pPr>
        <w:ind w:left="360" w:hanging="360"/>
      </w:pPr>
      <w:rPr>
        <w:rFonts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3">
    <w:nsid w:val="691B6B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A823B13"/>
    <w:multiLevelType w:val="multilevel"/>
    <w:tmpl w:val="E5E89F92"/>
    <w:numStyleLink w:val="BulletList"/>
  </w:abstractNum>
  <w:abstractNum w:abstractNumId="35">
    <w:nsid w:val="6DF2198A"/>
    <w:multiLevelType w:val="multilevel"/>
    <w:tmpl w:val="E5E89F92"/>
    <w:numStyleLink w:val="BulletList"/>
  </w:abstractNum>
  <w:abstractNum w:abstractNumId="36">
    <w:nsid w:val="6F032444"/>
    <w:multiLevelType w:val="multilevel"/>
    <w:tmpl w:val="E5E89F92"/>
    <w:numStyleLink w:val="BulletList"/>
  </w:abstractNum>
  <w:abstractNum w:abstractNumId="37">
    <w:nsid w:val="6F5C7C61"/>
    <w:multiLevelType w:val="hybridMultilevel"/>
    <w:tmpl w:val="D58E68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F7D6BDE"/>
    <w:multiLevelType w:val="hybridMultilevel"/>
    <w:tmpl w:val="E1006C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2C700E0"/>
    <w:multiLevelType w:val="multilevel"/>
    <w:tmpl w:val="E898CC72"/>
    <w:numStyleLink w:val="KeyPoints"/>
  </w:abstractNum>
  <w:abstractNum w:abstractNumId="4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41">
    <w:nsid w:val="788260C9"/>
    <w:multiLevelType w:val="multilevel"/>
    <w:tmpl w:val="E898CC72"/>
    <w:numStyleLink w:val="KeyPoints"/>
  </w:abstractNum>
  <w:abstractNum w:abstractNumId="42">
    <w:nsid w:val="78A5298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C314760"/>
    <w:multiLevelType w:val="hybridMultilevel"/>
    <w:tmpl w:val="6F9C46BE"/>
    <w:lvl w:ilvl="0" w:tplc="2D70B1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D3708B3"/>
    <w:multiLevelType w:val="multilevel"/>
    <w:tmpl w:val="E5E89F92"/>
    <w:numStyleLink w:val="BulletList"/>
  </w:abstractNum>
  <w:num w:numId="1">
    <w:abstractNumId w:val="40"/>
  </w:num>
  <w:num w:numId="2">
    <w:abstractNumId w:val="15"/>
    <w:lvlOverride w:ilvl="0">
      <w:lvl w:ilvl="0">
        <w:start w:val="1"/>
        <w:numFmt w:val="decimal"/>
        <w:lvlText w:val="%1."/>
        <w:lvlJc w:val="left"/>
        <w:pPr>
          <w:ind w:left="369" w:hanging="369"/>
        </w:pPr>
        <w:rPr>
          <w:rFonts w:ascii="Arial" w:hAnsi="Arial" w:cs="Arial" w:hint="default"/>
          <w:sz w:val="22"/>
        </w:rPr>
      </w:lvl>
    </w:lvlOverride>
  </w:num>
  <w:num w:numId="3">
    <w:abstractNumId w:val="10"/>
  </w:num>
  <w:num w:numId="4">
    <w:abstractNumId w:val="26"/>
  </w:num>
  <w:num w:numId="5">
    <w:abstractNumId w:val="37"/>
  </w:num>
  <w:num w:numId="6">
    <w:abstractNumId w:val="38"/>
  </w:num>
  <w:num w:numId="7">
    <w:abstractNumId w:val="33"/>
  </w:num>
  <w:num w:numId="8">
    <w:abstractNumId w:val="21"/>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6"/>
  </w:num>
  <w:num w:numId="16">
    <w:abstractNumId w:val="42"/>
  </w:num>
  <w:num w:numId="17">
    <w:abstractNumId w:val="12"/>
  </w:num>
  <w:num w:numId="18">
    <w:abstractNumId w:val="31"/>
  </w:num>
  <w:num w:numId="19">
    <w:abstractNumId w:val="11"/>
  </w:num>
  <w:num w:numId="20">
    <w:abstractNumId w:val="20"/>
  </w:num>
  <w:num w:numId="21">
    <w:abstractNumId w:val="14"/>
  </w:num>
  <w:num w:numId="22">
    <w:abstractNumId w:val="19"/>
  </w:num>
  <w:num w:numId="23">
    <w:abstractNumId w:val="27"/>
  </w:num>
  <w:num w:numId="24">
    <w:abstractNumId w:val="36"/>
  </w:num>
  <w:num w:numId="25">
    <w:abstractNumId w:val="32"/>
  </w:num>
  <w:num w:numId="26">
    <w:abstractNumId w:val="25"/>
  </w:num>
  <w:num w:numId="27">
    <w:abstractNumId w:val="39"/>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4"/>
  </w:num>
  <w:num w:numId="31">
    <w:abstractNumId w:val="35"/>
  </w:num>
  <w:num w:numId="32">
    <w:abstractNumId w:val="32"/>
  </w:num>
  <w:num w:numId="33">
    <w:abstractNumId w:val="28"/>
  </w:num>
  <w:num w:numId="34">
    <w:abstractNumId w:val="17"/>
  </w:num>
  <w:num w:numId="35">
    <w:abstractNumId w:val="29"/>
  </w:num>
  <w:num w:numId="36">
    <w:abstractNumId w:val="43"/>
  </w:num>
  <w:num w:numId="37">
    <w:abstractNumId w:val="43"/>
    <w:lvlOverride w:ilvl="0">
      <w:startOverride w:val="1"/>
    </w:lvlOverride>
  </w:num>
  <w:num w:numId="38">
    <w:abstractNumId w:val="8"/>
  </w:num>
  <w:num w:numId="39">
    <w:abstractNumId w:val="22"/>
  </w:num>
  <w:num w:numId="40">
    <w:abstractNumId w:val="3"/>
  </w:num>
  <w:num w:numId="41">
    <w:abstractNumId w:val="2"/>
  </w:num>
  <w:num w:numId="42">
    <w:abstractNumId w:val="1"/>
  </w:num>
  <w:num w:numId="43">
    <w:abstractNumId w:val="0"/>
  </w:num>
  <w:num w:numId="44">
    <w:abstractNumId w:val="41"/>
  </w:num>
  <w:num w:numId="45">
    <w:abstractNumId w:val="34"/>
  </w:num>
  <w:num w:numId="46">
    <w:abstractNumId w:val="44"/>
  </w:num>
  <w:num w:numId="47">
    <w:abstractNumId w:val="30"/>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20"/>
  <w:drawingGridHorizontalSpacing w:val="120"/>
  <w:displayHorizontalDrawingGridEvery w:val="2"/>
  <w:displayVerticalDrawingGridEvery w:val="2"/>
  <w:characterSpacingControl w:val="doNotCompress"/>
  <w:hdrShapeDefaults>
    <o:shapedefaults v:ext="edit" spidmax="11266"/>
  </w:hdrShapeDefaults>
  <w:footnotePr>
    <w:footnote w:id="-1"/>
    <w:footnote w:id="0"/>
  </w:footnotePr>
  <w:endnotePr>
    <w:endnote w:id="-1"/>
    <w:endnote w:id="0"/>
  </w:endnotePr>
  <w:compat/>
  <w:docVars>
    <w:docVar w:name="SecurityClassificationInHeader" w:val="False"/>
  </w:docVars>
  <w:rsids>
    <w:rsidRoot w:val="00DD2E6F"/>
    <w:rsid w:val="00004AEE"/>
    <w:rsid w:val="00005CAA"/>
    <w:rsid w:val="00007630"/>
    <w:rsid w:val="00010210"/>
    <w:rsid w:val="00012D66"/>
    <w:rsid w:val="00015ADA"/>
    <w:rsid w:val="00020C99"/>
    <w:rsid w:val="0002707B"/>
    <w:rsid w:val="0005148E"/>
    <w:rsid w:val="00072C5A"/>
    <w:rsid w:val="000759E5"/>
    <w:rsid w:val="00084AC6"/>
    <w:rsid w:val="00091608"/>
    <w:rsid w:val="0009333C"/>
    <w:rsid w:val="0009704F"/>
    <w:rsid w:val="000A0F11"/>
    <w:rsid w:val="000A125A"/>
    <w:rsid w:val="000A57CD"/>
    <w:rsid w:val="000B2905"/>
    <w:rsid w:val="000B3758"/>
    <w:rsid w:val="000B7681"/>
    <w:rsid w:val="000B7B42"/>
    <w:rsid w:val="000C02B7"/>
    <w:rsid w:val="000C5100"/>
    <w:rsid w:val="000C5342"/>
    <w:rsid w:val="000C706A"/>
    <w:rsid w:val="000D2887"/>
    <w:rsid w:val="000D6D63"/>
    <w:rsid w:val="000E0081"/>
    <w:rsid w:val="000E07CF"/>
    <w:rsid w:val="000E31C1"/>
    <w:rsid w:val="000F2CF2"/>
    <w:rsid w:val="00100BEF"/>
    <w:rsid w:val="00100E4B"/>
    <w:rsid w:val="00111326"/>
    <w:rsid w:val="0011498E"/>
    <w:rsid w:val="00117A45"/>
    <w:rsid w:val="001215A2"/>
    <w:rsid w:val="001224AE"/>
    <w:rsid w:val="001337D4"/>
    <w:rsid w:val="00147C12"/>
    <w:rsid w:val="00151F29"/>
    <w:rsid w:val="001527A1"/>
    <w:rsid w:val="001530DC"/>
    <w:rsid w:val="00154989"/>
    <w:rsid w:val="00155A9F"/>
    <w:rsid w:val="00160262"/>
    <w:rsid w:val="00166690"/>
    <w:rsid w:val="0016780A"/>
    <w:rsid w:val="001713FA"/>
    <w:rsid w:val="00173EBF"/>
    <w:rsid w:val="00175B2E"/>
    <w:rsid w:val="00175ED3"/>
    <w:rsid w:val="001842A2"/>
    <w:rsid w:val="00187FA8"/>
    <w:rsid w:val="00192F5E"/>
    <w:rsid w:val="00197772"/>
    <w:rsid w:val="001A11AB"/>
    <w:rsid w:val="001A51C8"/>
    <w:rsid w:val="001B4CA8"/>
    <w:rsid w:val="001B5EA1"/>
    <w:rsid w:val="001B6F5B"/>
    <w:rsid w:val="001C14D9"/>
    <w:rsid w:val="001C4F3D"/>
    <w:rsid w:val="001D0CDC"/>
    <w:rsid w:val="001D1D82"/>
    <w:rsid w:val="001E1182"/>
    <w:rsid w:val="001E18C8"/>
    <w:rsid w:val="00202C90"/>
    <w:rsid w:val="00213DE8"/>
    <w:rsid w:val="00216118"/>
    <w:rsid w:val="002209AB"/>
    <w:rsid w:val="002251E3"/>
    <w:rsid w:val="00227A95"/>
    <w:rsid w:val="002316BD"/>
    <w:rsid w:val="002473FC"/>
    <w:rsid w:val="00252E3C"/>
    <w:rsid w:val="0026141E"/>
    <w:rsid w:val="00262198"/>
    <w:rsid w:val="00285F1B"/>
    <w:rsid w:val="00292B81"/>
    <w:rsid w:val="002B18AE"/>
    <w:rsid w:val="002C1C93"/>
    <w:rsid w:val="002C5066"/>
    <w:rsid w:val="002C5813"/>
    <w:rsid w:val="002D4AAC"/>
    <w:rsid w:val="002F045A"/>
    <w:rsid w:val="0030039D"/>
    <w:rsid w:val="0030326F"/>
    <w:rsid w:val="00310701"/>
    <w:rsid w:val="00315980"/>
    <w:rsid w:val="00316F7F"/>
    <w:rsid w:val="003218E8"/>
    <w:rsid w:val="00325E34"/>
    <w:rsid w:val="00330DCE"/>
    <w:rsid w:val="00331E11"/>
    <w:rsid w:val="00334761"/>
    <w:rsid w:val="00337EBC"/>
    <w:rsid w:val="00341DCD"/>
    <w:rsid w:val="0034563E"/>
    <w:rsid w:val="003518D6"/>
    <w:rsid w:val="0035460C"/>
    <w:rsid w:val="003556BD"/>
    <w:rsid w:val="00365147"/>
    <w:rsid w:val="0037016E"/>
    <w:rsid w:val="00372908"/>
    <w:rsid w:val="00383020"/>
    <w:rsid w:val="00394D7E"/>
    <w:rsid w:val="003975FD"/>
    <w:rsid w:val="003A03D9"/>
    <w:rsid w:val="003B057D"/>
    <w:rsid w:val="003B60CC"/>
    <w:rsid w:val="003C0617"/>
    <w:rsid w:val="003C1B25"/>
    <w:rsid w:val="003C2443"/>
    <w:rsid w:val="003C5DA3"/>
    <w:rsid w:val="003D4BCD"/>
    <w:rsid w:val="003D6C2B"/>
    <w:rsid w:val="003E01D8"/>
    <w:rsid w:val="003E2100"/>
    <w:rsid w:val="003F6F5B"/>
    <w:rsid w:val="0040342D"/>
    <w:rsid w:val="0041192D"/>
    <w:rsid w:val="00413EE1"/>
    <w:rsid w:val="0041748B"/>
    <w:rsid w:val="0042128E"/>
    <w:rsid w:val="00432B60"/>
    <w:rsid w:val="00440698"/>
    <w:rsid w:val="004540E2"/>
    <w:rsid w:val="00454454"/>
    <w:rsid w:val="00467924"/>
    <w:rsid w:val="004712A5"/>
    <w:rsid w:val="0047266F"/>
    <w:rsid w:val="00476D6B"/>
    <w:rsid w:val="00492C16"/>
    <w:rsid w:val="004A0678"/>
    <w:rsid w:val="004A48A3"/>
    <w:rsid w:val="004B0D92"/>
    <w:rsid w:val="004B0EC0"/>
    <w:rsid w:val="004B66F1"/>
    <w:rsid w:val="004C3EA0"/>
    <w:rsid w:val="004E0971"/>
    <w:rsid w:val="004F25DE"/>
    <w:rsid w:val="004F7169"/>
    <w:rsid w:val="00500D66"/>
    <w:rsid w:val="00514C8E"/>
    <w:rsid w:val="00531DBF"/>
    <w:rsid w:val="00541C6D"/>
    <w:rsid w:val="00545759"/>
    <w:rsid w:val="00545BE0"/>
    <w:rsid w:val="00546930"/>
    <w:rsid w:val="00547A7E"/>
    <w:rsid w:val="00554C6A"/>
    <w:rsid w:val="00562E85"/>
    <w:rsid w:val="0056332F"/>
    <w:rsid w:val="005719B3"/>
    <w:rsid w:val="0057295E"/>
    <w:rsid w:val="00581C39"/>
    <w:rsid w:val="005903B6"/>
    <w:rsid w:val="005A0247"/>
    <w:rsid w:val="005A126E"/>
    <w:rsid w:val="005A452F"/>
    <w:rsid w:val="005B140D"/>
    <w:rsid w:val="005C1FEA"/>
    <w:rsid w:val="005C3495"/>
    <w:rsid w:val="005E3DFC"/>
    <w:rsid w:val="005E5942"/>
    <w:rsid w:val="005E60AF"/>
    <w:rsid w:val="005F1DEA"/>
    <w:rsid w:val="00607FC9"/>
    <w:rsid w:val="00612BBB"/>
    <w:rsid w:val="0061685C"/>
    <w:rsid w:val="00622FE1"/>
    <w:rsid w:val="0062521C"/>
    <w:rsid w:val="00630A2B"/>
    <w:rsid w:val="00632DC7"/>
    <w:rsid w:val="006357FB"/>
    <w:rsid w:val="006406FC"/>
    <w:rsid w:val="00640E57"/>
    <w:rsid w:val="00646122"/>
    <w:rsid w:val="00653E16"/>
    <w:rsid w:val="00657220"/>
    <w:rsid w:val="00657362"/>
    <w:rsid w:val="0066104B"/>
    <w:rsid w:val="006655EE"/>
    <w:rsid w:val="00667C10"/>
    <w:rsid w:val="00667EF4"/>
    <w:rsid w:val="00676FCA"/>
    <w:rsid w:val="00677177"/>
    <w:rsid w:val="0068612E"/>
    <w:rsid w:val="00687C92"/>
    <w:rsid w:val="0069534E"/>
    <w:rsid w:val="0069669C"/>
    <w:rsid w:val="006A1200"/>
    <w:rsid w:val="006A4F4E"/>
    <w:rsid w:val="006A6C23"/>
    <w:rsid w:val="006A7ACB"/>
    <w:rsid w:val="006B14DB"/>
    <w:rsid w:val="006B21C4"/>
    <w:rsid w:val="006C379E"/>
    <w:rsid w:val="006C4A1A"/>
    <w:rsid w:val="006D0393"/>
    <w:rsid w:val="006D1A83"/>
    <w:rsid w:val="006E1CFE"/>
    <w:rsid w:val="006F10C4"/>
    <w:rsid w:val="006F40E9"/>
    <w:rsid w:val="006F5603"/>
    <w:rsid w:val="006F5741"/>
    <w:rsid w:val="006F7B87"/>
    <w:rsid w:val="00701400"/>
    <w:rsid w:val="007037CF"/>
    <w:rsid w:val="0070659C"/>
    <w:rsid w:val="007167C0"/>
    <w:rsid w:val="00720481"/>
    <w:rsid w:val="00733193"/>
    <w:rsid w:val="00741D02"/>
    <w:rsid w:val="00744DDA"/>
    <w:rsid w:val="00745E03"/>
    <w:rsid w:val="0075732A"/>
    <w:rsid w:val="007600F8"/>
    <w:rsid w:val="00760262"/>
    <w:rsid w:val="0076310C"/>
    <w:rsid w:val="0076744F"/>
    <w:rsid w:val="00767BCE"/>
    <w:rsid w:val="00767EFC"/>
    <w:rsid w:val="007707DE"/>
    <w:rsid w:val="00770B5D"/>
    <w:rsid w:val="007752F1"/>
    <w:rsid w:val="00776768"/>
    <w:rsid w:val="0078187A"/>
    <w:rsid w:val="00794ED8"/>
    <w:rsid w:val="007A2573"/>
    <w:rsid w:val="007B106C"/>
    <w:rsid w:val="007B1A4E"/>
    <w:rsid w:val="007B3D05"/>
    <w:rsid w:val="007B5503"/>
    <w:rsid w:val="007C179C"/>
    <w:rsid w:val="007C6BB3"/>
    <w:rsid w:val="007D14B4"/>
    <w:rsid w:val="007D3AD7"/>
    <w:rsid w:val="007E1CF8"/>
    <w:rsid w:val="007E24F6"/>
    <w:rsid w:val="007F5C9F"/>
    <w:rsid w:val="00800F64"/>
    <w:rsid w:val="00801050"/>
    <w:rsid w:val="00802F0B"/>
    <w:rsid w:val="00810A67"/>
    <w:rsid w:val="008222C2"/>
    <w:rsid w:val="00833CF7"/>
    <w:rsid w:val="00834CDE"/>
    <w:rsid w:val="00842464"/>
    <w:rsid w:val="00845601"/>
    <w:rsid w:val="00855C5C"/>
    <w:rsid w:val="008A3C96"/>
    <w:rsid w:val="008B4019"/>
    <w:rsid w:val="008B65C9"/>
    <w:rsid w:val="008C2D4A"/>
    <w:rsid w:val="008C5D1B"/>
    <w:rsid w:val="008D3900"/>
    <w:rsid w:val="008D6E1D"/>
    <w:rsid w:val="008F39B4"/>
    <w:rsid w:val="008F4162"/>
    <w:rsid w:val="00903E02"/>
    <w:rsid w:val="00913175"/>
    <w:rsid w:val="00916EDB"/>
    <w:rsid w:val="00920861"/>
    <w:rsid w:val="009229D5"/>
    <w:rsid w:val="00922B13"/>
    <w:rsid w:val="009242EF"/>
    <w:rsid w:val="00926ADD"/>
    <w:rsid w:val="00932291"/>
    <w:rsid w:val="00932861"/>
    <w:rsid w:val="0093408E"/>
    <w:rsid w:val="00952DDF"/>
    <w:rsid w:val="00963B6A"/>
    <w:rsid w:val="00970950"/>
    <w:rsid w:val="009812D4"/>
    <w:rsid w:val="00986EE2"/>
    <w:rsid w:val="009920D8"/>
    <w:rsid w:val="009B38BE"/>
    <w:rsid w:val="009C239A"/>
    <w:rsid w:val="009C3D0F"/>
    <w:rsid w:val="009E1B19"/>
    <w:rsid w:val="009F33EA"/>
    <w:rsid w:val="009F35E2"/>
    <w:rsid w:val="009F42AA"/>
    <w:rsid w:val="009F65F9"/>
    <w:rsid w:val="009F68BA"/>
    <w:rsid w:val="00A06277"/>
    <w:rsid w:val="00A079DC"/>
    <w:rsid w:val="00A111C2"/>
    <w:rsid w:val="00A338E7"/>
    <w:rsid w:val="00A35CAA"/>
    <w:rsid w:val="00A36E7F"/>
    <w:rsid w:val="00A3738C"/>
    <w:rsid w:val="00A41E65"/>
    <w:rsid w:val="00A43E0A"/>
    <w:rsid w:val="00A4769E"/>
    <w:rsid w:val="00A530C7"/>
    <w:rsid w:val="00A53B0A"/>
    <w:rsid w:val="00A55F5B"/>
    <w:rsid w:val="00A60185"/>
    <w:rsid w:val="00A62292"/>
    <w:rsid w:val="00A661EA"/>
    <w:rsid w:val="00A830E5"/>
    <w:rsid w:val="00A87135"/>
    <w:rsid w:val="00A91657"/>
    <w:rsid w:val="00A93280"/>
    <w:rsid w:val="00A951EA"/>
    <w:rsid w:val="00AA2548"/>
    <w:rsid w:val="00AA58C4"/>
    <w:rsid w:val="00AA7003"/>
    <w:rsid w:val="00AB11C8"/>
    <w:rsid w:val="00AC08A8"/>
    <w:rsid w:val="00AD1E27"/>
    <w:rsid w:val="00AD44D7"/>
    <w:rsid w:val="00AD56C8"/>
    <w:rsid w:val="00AD58F2"/>
    <w:rsid w:val="00B0512A"/>
    <w:rsid w:val="00B0529F"/>
    <w:rsid w:val="00B1418B"/>
    <w:rsid w:val="00B150DE"/>
    <w:rsid w:val="00B21195"/>
    <w:rsid w:val="00B24B22"/>
    <w:rsid w:val="00B25310"/>
    <w:rsid w:val="00B32F8F"/>
    <w:rsid w:val="00B3492A"/>
    <w:rsid w:val="00B54DE9"/>
    <w:rsid w:val="00B553EC"/>
    <w:rsid w:val="00B55E3F"/>
    <w:rsid w:val="00B70066"/>
    <w:rsid w:val="00B93DD0"/>
    <w:rsid w:val="00B97732"/>
    <w:rsid w:val="00BA65A8"/>
    <w:rsid w:val="00BA6D19"/>
    <w:rsid w:val="00BA7461"/>
    <w:rsid w:val="00BA7DA9"/>
    <w:rsid w:val="00BC4215"/>
    <w:rsid w:val="00BD1A6F"/>
    <w:rsid w:val="00BE2BC9"/>
    <w:rsid w:val="00BE6D3C"/>
    <w:rsid w:val="00BE7852"/>
    <w:rsid w:val="00BF7CEE"/>
    <w:rsid w:val="00C03880"/>
    <w:rsid w:val="00C1325B"/>
    <w:rsid w:val="00C135CF"/>
    <w:rsid w:val="00C20010"/>
    <w:rsid w:val="00C2683F"/>
    <w:rsid w:val="00C3184D"/>
    <w:rsid w:val="00C4714E"/>
    <w:rsid w:val="00C51CCA"/>
    <w:rsid w:val="00C5504F"/>
    <w:rsid w:val="00C57B55"/>
    <w:rsid w:val="00C63376"/>
    <w:rsid w:val="00C64410"/>
    <w:rsid w:val="00C74F97"/>
    <w:rsid w:val="00C8276E"/>
    <w:rsid w:val="00C842AC"/>
    <w:rsid w:val="00C96688"/>
    <w:rsid w:val="00CA0723"/>
    <w:rsid w:val="00CB1690"/>
    <w:rsid w:val="00CB2ED0"/>
    <w:rsid w:val="00CC4365"/>
    <w:rsid w:val="00CD04DF"/>
    <w:rsid w:val="00CD11B0"/>
    <w:rsid w:val="00CE71C2"/>
    <w:rsid w:val="00CF42D5"/>
    <w:rsid w:val="00CF4EDA"/>
    <w:rsid w:val="00D021CB"/>
    <w:rsid w:val="00D10F1A"/>
    <w:rsid w:val="00D116F8"/>
    <w:rsid w:val="00D17596"/>
    <w:rsid w:val="00D22640"/>
    <w:rsid w:val="00D26D3A"/>
    <w:rsid w:val="00D45EE3"/>
    <w:rsid w:val="00D50618"/>
    <w:rsid w:val="00D509E9"/>
    <w:rsid w:val="00D53B1C"/>
    <w:rsid w:val="00D72A62"/>
    <w:rsid w:val="00DA1B12"/>
    <w:rsid w:val="00DA54C9"/>
    <w:rsid w:val="00DA6739"/>
    <w:rsid w:val="00DA6CAE"/>
    <w:rsid w:val="00DB1A9E"/>
    <w:rsid w:val="00DB31D6"/>
    <w:rsid w:val="00DB4005"/>
    <w:rsid w:val="00DC1C15"/>
    <w:rsid w:val="00DC34EB"/>
    <w:rsid w:val="00DD2E6F"/>
    <w:rsid w:val="00DF1E5B"/>
    <w:rsid w:val="00DF2275"/>
    <w:rsid w:val="00DF3F5E"/>
    <w:rsid w:val="00DF5653"/>
    <w:rsid w:val="00E0596E"/>
    <w:rsid w:val="00E06F66"/>
    <w:rsid w:val="00E20CFF"/>
    <w:rsid w:val="00E356E5"/>
    <w:rsid w:val="00E36F81"/>
    <w:rsid w:val="00E44970"/>
    <w:rsid w:val="00E45765"/>
    <w:rsid w:val="00E5098C"/>
    <w:rsid w:val="00E60213"/>
    <w:rsid w:val="00E661B2"/>
    <w:rsid w:val="00E74D29"/>
    <w:rsid w:val="00E83C74"/>
    <w:rsid w:val="00E83CEE"/>
    <w:rsid w:val="00E91F18"/>
    <w:rsid w:val="00E9226D"/>
    <w:rsid w:val="00EA15BD"/>
    <w:rsid w:val="00EA416C"/>
    <w:rsid w:val="00EA5941"/>
    <w:rsid w:val="00EB60CE"/>
    <w:rsid w:val="00EB7D53"/>
    <w:rsid w:val="00EE3146"/>
    <w:rsid w:val="00EF2D98"/>
    <w:rsid w:val="00EF50BB"/>
    <w:rsid w:val="00EF53FF"/>
    <w:rsid w:val="00F00192"/>
    <w:rsid w:val="00F01DF6"/>
    <w:rsid w:val="00F0340D"/>
    <w:rsid w:val="00F059A6"/>
    <w:rsid w:val="00F23756"/>
    <w:rsid w:val="00F2523A"/>
    <w:rsid w:val="00F2531D"/>
    <w:rsid w:val="00F25FFA"/>
    <w:rsid w:val="00F310D2"/>
    <w:rsid w:val="00F36F3D"/>
    <w:rsid w:val="00F477BD"/>
    <w:rsid w:val="00F53491"/>
    <w:rsid w:val="00F65A1C"/>
    <w:rsid w:val="00F66527"/>
    <w:rsid w:val="00F66F50"/>
    <w:rsid w:val="00F82FF8"/>
    <w:rsid w:val="00F8330D"/>
    <w:rsid w:val="00F84305"/>
    <w:rsid w:val="00F8485C"/>
    <w:rsid w:val="00F87149"/>
    <w:rsid w:val="00F87FFE"/>
    <w:rsid w:val="00F954C9"/>
    <w:rsid w:val="00FA4CF0"/>
    <w:rsid w:val="00FA61AA"/>
    <w:rsid w:val="00FA69A4"/>
    <w:rsid w:val="00FB1279"/>
    <w:rsid w:val="00FB1495"/>
    <w:rsid w:val="00FD1694"/>
    <w:rsid w:val="00FD7636"/>
    <w:rsid w:val="00FE3229"/>
    <w:rsid w:val="00FE4668"/>
    <w:rsid w:val="00FE74C3"/>
    <w:rsid w:val="00FF215C"/>
    <w:rsid w:val="00FF49E8"/>
    <w:rsid w:val="00FF672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List Bullet" w:qFormat="1"/>
    <w:lsdException w:name="List Number" w:semiHidden="0" w:unhideWhenUsed="0" w:qFormat="1"/>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qFormat="1"/>
    <w:lsdException w:name="Default Paragraph Font" w:uiPriority="1"/>
    <w:lsdException w:name="List Continue" w:semiHidden="0" w:unhideWhenUsed="0"/>
    <w:lsdException w:name="Subtitle" w:uiPriority="11"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1215A2"/>
    <w:pPr>
      <w:spacing w:after="200" w:line="276" w:lineRule="auto"/>
    </w:pPr>
    <w:rPr>
      <w:rFonts w:ascii="Times New Roman" w:hAnsi="Times New Roman"/>
      <w:sz w:val="24"/>
      <w:szCs w:val="22"/>
      <w:lang w:eastAsia="en-US"/>
    </w:rPr>
  </w:style>
  <w:style w:type="paragraph" w:styleId="Heading1">
    <w:name w:val="heading 1"/>
    <w:basedOn w:val="Normal"/>
    <w:next w:val="Normal"/>
    <w:link w:val="Heading1Char"/>
    <w:uiPriority w:val="9"/>
    <w:qFormat/>
    <w:rsid w:val="00C51CCA"/>
    <w:pPr>
      <w:keepNext/>
      <w:outlineLvl w:val="0"/>
    </w:pPr>
    <w:rPr>
      <w:rFonts w:cs="Arial"/>
      <w:b/>
      <w:caps/>
    </w:rPr>
  </w:style>
  <w:style w:type="paragraph" w:styleId="Heading2">
    <w:name w:val="heading 2"/>
    <w:basedOn w:val="Normal"/>
    <w:next w:val="Normal"/>
    <w:link w:val="Heading2Char"/>
    <w:uiPriority w:val="9"/>
    <w:qFormat/>
    <w:rsid w:val="000E31C1"/>
    <w:pPr>
      <w:keepNext/>
      <w:outlineLvl w:val="1"/>
    </w:pPr>
    <w:rPr>
      <w:rFonts w:cs="Arial"/>
      <w:b/>
    </w:rPr>
  </w:style>
  <w:style w:type="paragraph" w:styleId="Heading3">
    <w:name w:val="heading 3"/>
    <w:basedOn w:val="Normal"/>
    <w:next w:val="Normal"/>
    <w:link w:val="Heading3Char"/>
    <w:uiPriority w:val="9"/>
    <w:qFormat/>
    <w:rsid w:val="000E31C1"/>
    <w:pPr>
      <w:keepNext/>
      <w:outlineLvl w:val="2"/>
    </w:pPr>
    <w:rPr>
      <w:rFonts w:cs="Arial"/>
      <w:b/>
      <w:i/>
    </w:rPr>
  </w:style>
  <w:style w:type="paragraph" w:styleId="Heading4">
    <w:name w:val="heading 4"/>
    <w:basedOn w:val="Normal"/>
    <w:next w:val="Normal"/>
    <w:link w:val="Heading4Char"/>
    <w:uiPriority w:val="9"/>
    <w:qFormat/>
    <w:rsid w:val="000E31C1"/>
    <w:pPr>
      <w:keepNext/>
      <w:outlineLvl w:val="3"/>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uiPriority w:val="99"/>
    <w:rsid w:val="00091608"/>
    <w:pPr>
      <w:numPr>
        <w:numId w:val="3"/>
      </w:numPr>
    </w:pPr>
  </w:style>
  <w:style w:type="paragraph" w:customStyle="1" w:styleId="1BulletStyleList">
    <w:name w:val="1. Bullet Style List"/>
    <w:basedOn w:val="Normal"/>
    <w:rsid w:val="00CE71C2"/>
    <w:pPr>
      <w:spacing w:line="240" w:lineRule="auto"/>
    </w:pPr>
    <w:rPr>
      <w:rFonts w:eastAsia="Times New Roman"/>
      <w:szCs w:val="20"/>
      <w:lang w:eastAsia="en-AU"/>
    </w:rPr>
  </w:style>
  <w:style w:type="character" w:customStyle="1" w:styleId="Heading1Char">
    <w:name w:val="Heading 1 Char"/>
    <w:basedOn w:val="DefaultParagraphFont"/>
    <w:link w:val="Heading1"/>
    <w:uiPriority w:val="9"/>
    <w:rsid w:val="00C51CCA"/>
    <w:rPr>
      <w:rFonts w:cs="Arial"/>
      <w:b/>
      <w:caps/>
      <w:sz w:val="22"/>
      <w:szCs w:val="22"/>
      <w:lang w:eastAsia="en-US"/>
    </w:rPr>
  </w:style>
  <w:style w:type="character" w:customStyle="1" w:styleId="Heading2Char">
    <w:name w:val="Heading 2 Char"/>
    <w:basedOn w:val="DefaultParagraphFont"/>
    <w:link w:val="Heading2"/>
    <w:uiPriority w:val="9"/>
    <w:rsid w:val="000E31C1"/>
    <w:rPr>
      <w:rFonts w:cs="Arial"/>
      <w:b/>
      <w:sz w:val="22"/>
      <w:szCs w:val="22"/>
      <w:lang w:eastAsia="en-US"/>
    </w:rPr>
  </w:style>
  <w:style w:type="character" w:customStyle="1" w:styleId="Heading3Char">
    <w:name w:val="Heading 3 Char"/>
    <w:basedOn w:val="DefaultParagraphFont"/>
    <w:link w:val="Heading3"/>
    <w:uiPriority w:val="9"/>
    <w:rsid w:val="000E31C1"/>
    <w:rPr>
      <w:rFonts w:cs="Arial"/>
      <w:b/>
      <w:i/>
      <w:sz w:val="22"/>
      <w:szCs w:val="22"/>
      <w:lang w:eastAsia="en-US"/>
    </w:rPr>
  </w:style>
  <w:style w:type="character" w:customStyle="1" w:styleId="Heading4Char">
    <w:name w:val="Heading 4 Char"/>
    <w:basedOn w:val="DefaultParagraphFont"/>
    <w:link w:val="Heading4"/>
    <w:uiPriority w:val="9"/>
    <w:rsid w:val="000E31C1"/>
    <w:rPr>
      <w:rFonts w:cs="Arial"/>
      <w:i/>
      <w:sz w:val="22"/>
      <w:szCs w:val="22"/>
      <w:lang w:eastAsia="en-US"/>
    </w:rPr>
  </w:style>
  <w:style w:type="paragraph" w:styleId="ListBullet">
    <w:name w:val="List Bullet"/>
    <w:basedOn w:val="Normal"/>
    <w:uiPriority w:val="99"/>
    <w:unhideWhenUsed/>
    <w:qFormat/>
    <w:rsid w:val="00091608"/>
    <w:pPr>
      <w:numPr>
        <w:numId w:val="48"/>
      </w:numPr>
    </w:pPr>
  </w:style>
  <w:style w:type="paragraph" w:styleId="ListBullet2">
    <w:name w:val="List Bullet 2"/>
    <w:basedOn w:val="Normal"/>
    <w:uiPriority w:val="99"/>
    <w:unhideWhenUsed/>
    <w:rsid w:val="00091608"/>
    <w:pPr>
      <w:numPr>
        <w:ilvl w:val="1"/>
        <w:numId w:val="48"/>
      </w:numPr>
    </w:pPr>
  </w:style>
  <w:style w:type="paragraph" w:styleId="ListBullet3">
    <w:name w:val="List Bullet 3"/>
    <w:basedOn w:val="Normal"/>
    <w:uiPriority w:val="99"/>
    <w:unhideWhenUsed/>
    <w:rsid w:val="00091608"/>
    <w:pPr>
      <w:numPr>
        <w:ilvl w:val="2"/>
        <w:numId w:val="48"/>
      </w:numPr>
    </w:pPr>
  </w:style>
  <w:style w:type="paragraph" w:styleId="ListBullet4">
    <w:name w:val="List Bullet 4"/>
    <w:basedOn w:val="Normal"/>
    <w:uiPriority w:val="99"/>
    <w:unhideWhenUsed/>
    <w:rsid w:val="00091608"/>
    <w:pPr>
      <w:numPr>
        <w:ilvl w:val="3"/>
        <w:numId w:val="48"/>
      </w:numPr>
    </w:pPr>
  </w:style>
  <w:style w:type="paragraph" w:styleId="ListBullet5">
    <w:name w:val="List Bullet 5"/>
    <w:basedOn w:val="Normal"/>
    <w:uiPriority w:val="99"/>
    <w:unhideWhenUsed/>
    <w:rsid w:val="00091608"/>
    <w:pPr>
      <w:numPr>
        <w:ilvl w:val="4"/>
        <w:numId w:val="48"/>
      </w:numPr>
    </w:pPr>
  </w:style>
  <w:style w:type="numbering" w:customStyle="1" w:styleId="Attach">
    <w:name w:val="Attach"/>
    <w:basedOn w:val="NoList"/>
    <w:uiPriority w:val="99"/>
    <w:rsid w:val="00607FC9"/>
    <w:pPr>
      <w:numPr>
        <w:numId w:val="14"/>
      </w:numPr>
    </w:pPr>
  </w:style>
  <w:style w:type="paragraph" w:customStyle="1" w:styleId="Classification">
    <w:name w:val="Classification"/>
    <w:basedOn w:val="Normal"/>
    <w:uiPriority w:val="10"/>
    <w:qFormat/>
    <w:rsid w:val="00646122"/>
    <w:pPr>
      <w:tabs>
        <w:tab w:val="center" w:pos="4536"/>
        <w:tab w:val="center" w:pos="4819"/>
        <w:tab w:val="right" w:pos="9356"/>
      </w:tabs>
      <w:spacing w:after="240"/>
      <w:jc w:val="center"/>
    </w:pPr>
    <w:rPr>
      <w:rFonts w:eastAsia="Times New Roman" w:cs="Arial"/>
      <w:color w:val="FF0000"/>
      <w:sz w:val="28"/>
      <w:szCs w:val="28"/>
      <w:lang w:eastAsia="en-AU"/>
    </w:rPr>
  </w:style>
  <w:style w:type="paragraph" w:styleId="ListParagraph">
    <w:name w:val="List Paragraph"/>
    <w:basedOn w:val="Normal"/>
    <w:uiPriority w:val="34"/>
    <w:rsid w:val="003556BD"/>
    <w:pPr>
      <w:numPr>
        <w:numId w:val="39"/>
      </w:numPr>
    </w:pPr>
  </w:style>
  <w:style w:type="character" w:styleId="BookTitle">
    <w:name w:val="Book Title"/>
    <w:basedOn w:val="DefaultParagraphFont"/>
    <w:uiPriority w:val="33"/>
    <w:rsid w:val="00383020"/>
    <w:rPr>
      <w:bCs/>
      <w:i/>
      <w:smallCaps/>
      <w:spacing w:val="5"/>
    </w:rPr>
  </w:style>
  <w:style w:type="paragraph" w:styleId="ListNumber">
    <w:name w:val="List Number"/>
    <w:basedOn w:val="Normal"/>
    <w:uiPriority w:val="99"/>
    <w:qFormat/>
    <w:rsid w:val="00005CAA"/>
    <w:pPr>
      <w:numPr>
        <w:numId w:val="47"/>
      </w:numPr>
    </w:pPr>
  </w:style>
  <w:style w:type="paragraph" w:styleId="ListNumber2">
    <w:name w:val="List Number 2"/>
    <w:basedOn w:val="Normal"/>
    <w:uiPriority w:val="99"/>
    <w:rsid w:val="00005CAA"/>
    <w:pPr>
      <w:numPr>
        <w:ilvl w:val="1"/>
        <w:numId w:val="47"/>
      </w:numPr>
    </w:pPr>
  </w:style>
  <w:style w:type="paragraph" w:styleId="ListNumber3">
    <w:name w:val="List Number 3"/>
    <w:basedOn w:val="Normal"/>
    <w:uiPriority w:val="99"/>
    <w:rsid w:val="00005CAA"/>
    <w:pPr>
      <w:numPr>
        <w:ilvl w:val="2"/>
        <w:numId w:val="47"/>
      </w:numPr>
    </w:pPr>
  </w:style>
  <w:style w:type="paragraph" w:styleId="ListNumber4">
    <w:name w:val="List Number 4"/>
    <w:basedOn w:val="Normal"/>
    <w:uiPriority w:val="99"/>
    <w:rsid w:val="00005CAA"/>
    <w:pPr>
      <w:numPr>
        <w:ilvl w:val="3"/>
        <w:numId w:val="47"/>
      </w:numPr>
    </w:pPr>
  </w:style>
  <w:style w:type="paragraph" w:styleId="ListNumber5">
    <w:name w:val="List Number 5"/>
    <w:basedOn w:val="Normal"/>
    <w:uiPriority w:val="99"/>
    <w:rsid w:val="00005CAA"/>
    <w:pPr>
      <w:numPr>
        <w:ilvl w:val="4"/>
        <w:numId w:val="47"/>
      </w:numPr>
    </w:p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59"/>
    <w:rsid w:val="00100BEF"/>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5A126E"/>
    <w:pPr>
      <w:spacing w:after="0"/>
    </w:pPr>
  </w:style>
  <w:style w:type="paragraph" w:customStyle="1" w:styleId="Classificationsensitivity">
    <w:name w:val="Classification sensitivity"/>
    <w:basedOn w:val="Classification"/>
    <w:rsid w:val="002C5813"/>
    <w:rPr>
      <w:sz w:val="22"/>
    </w:rPr>
  </w:style>
  <w:style w:type="paragraph" w:customStyle="1" w:styleId="Tablebody">
    <w:name w:val="Table body"/>
    <w:basedOn w:val="Normal"/>
    <w:link w:val="TablebodyChar1"/>
    <w:rsid w:val="0026141E"/>
    <w:pPr>
      <w:tabs>
        <w:tab w:val="left" w:pos="720"/>
      </w:tabs>
      <w:spacing w:before="40" w:after="40" w:line="240" w:lineRule="auto"/>
    </w:pPr>
    <w:rPr>
      <w:rFonts w:eastAsia="Times New Roman" w:cs="Arial"/>
      <w:sz w:val="20"/>
      <w:szCs w:val="20"/>
    </w:rPr>
  </w:style>
  <w:style w:type="character" w:customStyle="1" w:styleId="TablebodyChar1">
    <w:name w:val="Table body Char1"/>
    <w:basedOn w:val="DefaultParagraphFont"/>
    <w:link w:val="Tablebody"/>
    <w:locked/>
    <w:rsid w:val="0026141E"/>
    <w:rPr>
      <w:rFonts w:eastAsia="Times New Roman" w:cs="Arial"/>
      <w:lang w:eastAsia="en-US"/>
    </w:rPr>
  </w:style>
  <w:style w:type="character" w:styleId="Hyperlink">
    <w:name w:val="Hyperlink"/>
    <w:basedOn w:val="DefaultParagraphFont"/>
    <w:uiPriority w:val="99"/>
    <w:unhideWhenUsed/>
    <w:rsid w:val="0026141E"/>
    <w:rPr>
      <w:strike w:val="0"/>
      <w:dstrike w:val="0"/>
      <w:color w:val="0062A0"/>
      <w:sz w:val="24"/>
      <w:szCs w:val="24"/>
      <w:u w:val="single"/>
      <w:effect w:val="none"/>
      <w:bdr w:val="none" w:sz="0" w:space="0" w:color="auto" w:frame="1"/>
      <w:vertAlign w:val="baseline"/>
    </w:rPr>
  </w:style>
  <w:style w:type="character" w:styleId="CommentReference">
    <w:name w:val="annotation reference"/>
    <w:basedOn w:val="DefaultParagraphFont"/>
    <w:uiPriority w:val="99"/>
    <w:semiHidden/>
    <w:unhideWhenUsed/>
    <w:rsid w:val="0026141E"/>
    <w:rPr>
      <w:sz w:val="16"/>
      <w:szCs w:val="16"/>
    </w:rPr>
  </w:style>
  <w:style w:type="paragraph" w:styleId="CommentText">
    <w:name w:val="annotation text"/>
    <w:basedOn w:val="Normal"/>
    <w:link w:val="CommentTextChar"/>
    <w:uiPriority w:val="99"/>
    <w:semiHidden/>
    <w:unhideWhenUsed/>
    <w:rsid w:val="0026141E"/>
    <w:pPr>
      <w:spacing w:line="240" w:lineRule="auto"/>
    </w:pPr>
    <w:rPr>
      <w:sz w:val="20"/>
      <w:szCs w:val="20"/>
    </w:rPr>
  </w:style>
  <w:style w:type="character" w:customStyle="1" w:styleId="CommentTextChar">
    <w:name w:val="Comment Text Char"/>
    <w:basedOn w:val="DefaultParagraphFont"/>
    <w:link w:val="CommentText"/>
    <w:uiPriority w:val="99"/>
    <w:semiHidden/>
    <w:rsid w:val="0026141E"/>
    <w:rPr>
      <w:lang w:eastAsia="en-US"/>
    </w:rPr>
  </w:style>
  <w:style w:type="paragraph" w:styleId="CommentSubject">
    <w:name w:val="annotation subject"/>
    <w:basedOn w:val="CommentText"/>
    <w:next w:val="CommentText"/>
    <w:link w:val="CommentSubjectChar"/>
    <w:uiPriority w:val="99"/>
    <w:semiHidden/>
    <w:unhideWhenUsed/>
    <w:rsid w:val="0026141E"/>
    <w:rPr>
      <w:b/>
      <w:bCs/>
    </w:rPr>
  </w:style>
  <w:style w:type="character" w:customStyle="1" w:styleId="CommentSubjectChar">
    <w:name w:val="Comment Subject Char"/>
    <w:basedOn w:val="CommentTextChar"/>
    <w:link w:val="CommentSubject"/>
    <w:uiPriority w:val="99"/>
    <w:semiHidden/>
    <w:rsid w:val="0026141E"/>
    <w:rPr>
      <w:b/>
      <w:bCs/>
      <w:lang w:eastAsia="en-US"/>
    </w:rPr>
  </w:style>
  <w:style w:type="paragraph" w:customStyle="1" w:styleId="TableTopRow">
    <w:name w:val="Table Top Row"/>
    <w:basedOn w:val="Normal"/>
    <w:link w:val="TableTopRowChar1"/>
    <w:rsid w:val="0026141E"/>
    <w:pPr>
      <w:tabs>
        <w:tab w:val="left" w:pos="720"/>
      </w:tabs>
      <w:spacing w:before="40" w:after="40" w:line="240" w:lineRule="auto"/>
      <w:jc w:val="center"/>
    </w:pPr>
    <w:rPr>
      <w:rFonts w:eastAsia="Times New Roman" w:cs="Arial"/>
      <w:b/>
      <w:sz w:val="20"/>
      <w:szCs w:val="20"/>
    </w:rPr>
  </w:style>
  <w:style w:type="character" w:customStyle="1" w:styleId="TableTopRowChar1">
    <w:name w:val="Table Top Row Char1"/>
    <w:basedOn w:val="DefaultParagraphFont"/>
    <w:link w:val="TableTopRow"/>
    <w:locked/>
    <w:rsid w:val="0026141E"/>
    <w:rPr>
      <w:rFonts w:eastAsia="Times New Roman" w:cs="Arial"/>
      <w:b/>
      <w:lang w:eastAsia="en-US"/>
    </w:rPr>
  </w:style>
  <w:style w:type="paragraph" w:customStyle="1" w:styleId="Style2">
    <w:name w:val="Style2"/>
    <w:basedOn w:val="Heading1"/>
    <w:link w:val="Style2Char"/>
    <w:autoRedefine/>
    <w:qFormat/>
    <w:rsid w:val="00A62292"/>
    <w:pPr>
      <w:spacing w:before="160" w:after="120"/>
    </w:pPr>
    <w:rPr>
      <w:rFonts w:eastAsia="Times New Roman"/>
      <w:caps w:val="0"/>
      <w:color w:val="17365D" w:themeColor="text2" w:themeShade="BF"/>
      <w:kern w:val="20"/>
    </w:rPr>
  </w:style>
  <w:style w:type="character" w:customStyle="1" w:styleId="Style2Char">
    <w:name w:val="Style2 Char"/>
    <w:basedOn w:val="Heading1Char"/>
    <w:link w:val="Style2"/>
    <w:locked/>
    <w:rsid w:val="00A62292"/>
    <w:rPr>
      <w:rFonts w:eastAsia="Times New Roman" w:cs="Arial"/>
      <w:b/>
      <w:caps w:val="0"/>
      <w:color w:val="17365D" w:themeColor="text2" w:themeShade="BF"/>
      <w:kern w:val="20"/>
      <w:sz w:val="22"/>
      <w:szCs w:val="22"/>
      <w:lang w:eastAsia="en-US"/>
    </w:rPr>
  </w:style>
  <w:style w:type="paragraph" w:styleId="NormalWeb">
    <w:name w:val="Normal (Web)"/>
    <w:basedOn w:val="Normal"/>
    <w:uiPriority w:val="99"/>
    <w:unhideWhenUsed/>
    <w:rsid w:val="00A3738C"/>
    <w:pPr>
      <w:spacing w:after="240" w:line="240" w:lineRule="auto"/>
      <w:textAlignment w:val="baseline"/>
    </w:pPr>
    <w:rPr>
      <w:rFonts w:eastAsia="Times New Roman"/>
      <w:szCs w:val="24"/>
      <w:lang w:eastAsia="en-AU"/>
    </w:rPr>
  </w:style>
  <w:style w:type="paragraph" w:styleId="EndnoteText">
    <w:name w:val="endnote text"/>
    <w:basedOn w:val="Normal"/>
    <w:link w:val="EndnoteTextChar"/>
    <w:uiPriority w:val="99"/>
    <w:semiHidden/>
    <w:unhideWhenUsed/>
    <w:rsid w:val="001215A2"/>
    <w:pPr>
      <w:spacing w:before="120" w:after="0" w:line="240" w:lineRule="auto"/>
    </w:pPr>
    <w:rPr>
      <w:rFonts w:eastAsiaTheme="majorEastAsia" w:cstheme="majorBidi"/>
      <w:sz w:val="20"/>
      <w:szCs w:val="20"/>
      <w:lang w:val="en-US" w:bidi="en-US"/>
    </w:rPr>
  </w:style>
  <w:style w:type="character" w:customStyle="1" w:styleId="EndnoteTextChar">
    <w:name w:val="Endnote Text Char"/>
    <w:basedOn w:val="DefaultParagraphFont"/>
    <w:link w:val="EndnoteText"/>
    <w:uiPriority w:val="99"/>
    <w:semiHidden/>
    <w:rsid w:val="001215A2"/>
    <w:rPr>
      <w:rFonts w:ascii="Times New Roman" w:eastAsiaTheme="majorEastAsia" w:hAnsi="Times New Roman" w:cstheme="majorBidi"/>
      <w:lang w:val="en-US" w:eastAsia="en-US" w:bidi="en-US"/>
    </w:rPr>
  </w:style>
  <w:style w:type="character" w:styleId="EndnoteReference">
    <w:name w:val="endnote reference"/>
    <w:basedOn w:val="DefaultParagraphFont"/>
    <w:uiPriority w:val="99"/>
    <w:semiHidden/>
    <w:unhideWhenUsed/>
    <w:rsid w:val="001215A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gov.au/privacy-policy"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MSecurityReview@environment.gov.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D6910-1576-4713-ADDA-04D777C9A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Independent Review into the Future Security of the National Electricity Market - Cover sheet for submissions</vt:lpstr>
    </vt:vector>
  </TitlesOfParts>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Review into the Future Security of the National Electricity Market - Cover sheet for submissions</dc:title>
  <dc:creator/>
  <cp:lastModifiedBy/>
  <cp:revision>1</cp:revision>
  <dcterms:created xsi:type="dcterms:W3CDTF">2017-02-16T01:21:00Z</dcterms:created>
  <dcterms:modified xsi:type="dcterms:W3CDTF">2017-02-19T23:58:00Z</dcterms:modified>
</cp:coreProperties>
</file>